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12AB" w14:textId="565316F3" w:rsidR="008173CA" w:rsidRPr="002E2EF3" w:rsidRDefault="008173CA" w:rsidP="00D81A56">
      <w:pPr>
        <w:rPr>
          <w:rFonts w:ascii="Arial" w:hAnsi="Arial" w:cs="Arial"/>
        </w:rPr>
      </w:pPr>
    </w:p>
    <w:p w14:paraId="4CA441D1" w14:textId="547DCB16" w:rsidR="00D82806" w:rsidRPr="002E2EF3" w:rsidRDefault="00D82806" w:rsidP="00D81A56">
      <w:pPr>
        <w:rPr>
          <w:rFonts w:ascii="Arial" w:hAnsi="Arial" w:cs="Arial"/>
        </w:rPr>
      </w:pPr>
    </w:p>
    <w:p w14:paraId="78E4F4DD" w14:textId="0292B561" w:rsidR="00D82806" w:rsidRPr="002E2EF3" w:rsidRDefault="00D82806" w:rsidP="00D81A56">
      <w:pPr>
        <w:rPr>
          <w:rFonts w:ascii="Arial" w:hAnsi="Arial" w:cs="Arial"/>
        </w:rPr>
      </w:pPr>
    </w:p>
    <w:p w14:paraId="2276498B" w14:textId="77777777" w:rsidR="00D82806" w:rsidRPr="002E2EF3" w:rsidRDefault="00D82806" w:rsidP="00D82806">
      <w:pPr>
        <w:widowControl w:val="0"/>
        <w:autoSpaceDE w:val="0"/>
        <w:autoSpaceDN w:val="0"/>
        <w:spacing w:before="1" w:after="0"/>
        <w:rPr>
          <w:rFonts w:ascii="Arial" w:eastAsia="Arial" w:hAnsi="Arial" w:cs="Arial"/>
          <w:b/>
          <w:sz w:val="28"/>
          <w:szCs w:val="28"/>
          <w:lang w:val="en-US" w:eastAsia="en-US"/>
        </w:rPr>
      </w:pPr>
      <w:bookmarkStart w:id="0" w:name="_Hlk10624798"/>
      <w:r w:rsidRPr="002E2EF3">
        <w:rPr>
          <w:rFonts w:ascii="Arial" w:eastAsia="Arial" w:hAnsi="Arial" w:cs="Arial"/>
          <w:b/>
          <w:sz w:val="28"/>
          <w:szCs w:val="28"/>
          <w:lang w:val="en-US" w:eastAsia="en-US"/>
        </w:rPr>
        <w:t>POLICY FOR PEER REVIEW AND ENHANCEMENT</w:t>
      </w:r>
    </w:p>
    <w:p w14:paraId="50DBFEDD" w14:textId="77777777" w:rsidR="00500168" w:rsidRPr="002E2EF3" w:rsidRDefault="00500168" w:rsidP="00D82806">
      <w:pPr>
        <w:widowControl w:val="0"/>
        <w:autoSpaceDE w:val="0"/>
        <w:autoSpaceDN w:val="0"/>
        <w:spacing w:before="1" w:after="0"/>
        <w:rPr>
          <w:rFonts w:ascii="Arial" w:eastAsia="Arial" w:hAnsi="Arial" w:cs="Arial"/>
          <w:sz w:val="20"/>
          <w:szCs w:val="22"/>
          <w:lang w:val="en-US" w:eastAsia="en-US"/>
        </w:rPr>
      </w:pPr>
    </w:p>
    <w:p w14:paraId="0EC28155" w14:textId="2C55045A" w:rsidR="00D82806" w:rsidRPr="002E2EF3" w:rsidRDefault="00D82806" w:rsidP="002E2EF3">
      <w:pPr>
        <w:widowControl w:val="0"/>
        <w:autoSpaceDE w:val="0"/>
        <w:autoSpaceDN w:val="0"/>
        <w:spacing w:before="78" w:after="0"/>
        <w:outlineLvl w:val="0"/>
        <w:rPr>
          <w:rFonts w:ascii="Arial" w:eastAsia="Arial" w:hAnsi="Arial" w:cs="Arial"/>
          <w:lang w:val="en-US" w:eastAsia="en-US"/>
        </w:rPr>
      </w:pPr>
      <w:r w:rsidRPr="002E2EF3">
        <w:rPr>
          <w:rFonts w:ascii="Arial" w:eastAsia="Arial" w:hAnsi="Arial" w:cs="Arial"/>
          <w:b/>
          <w:bCs/>
          <w:lang w:val="en-US" w:eastAsia="en-US"/>
        </w:rPr>
        <w:t>Policy statement</w:t>
      </w:r>
      <w:r w:rsidR="002E2EF3">
        <w:rPr>
          <w:rFonts w:ascii="Arial" w:eastAsia="Arial" w:hAnsi="Arial" w:cs="Arial"/>
          <w:b/>
          <w:bCs/>
          <w:lang w:val="en-US" w:eastAsia="en-US"/>
        </w:rPr>
        <w:t>:</w:t>
      </w:r>
    </w:p>
    <w:p w14:paraId="56E863FB" w14:textId="5AB712D4" w:rsidR="00D82806" w:rsidRDefault="003B7D0F" w:rsidP="006804F8">
      <w:pPr>
        <w:pStyle w:val="ListParagraph"/>
        <w:widowControl w:val="0"/>
        <w:numPr>
          <w:ilvl w:val="0"/>
          <w:numId w:val="12"/>
        </w:numPr>
        <w:autoSpaceDE w:val="0"/>
        <w:autoSpaceDN w:val="0"/>
        <w:spacing w:before="40" w:after="0"/>
        <w:ind w:left="360"/>
        <w:rPr>
          <w:rFonts w:ascii="Arial" w:eastAsia="Arial" w:hAnsi="Arial" w:cs="Arial"/>
          <w:lang w:val="en-US" w:eastAsia="en-US"/>
        </w:rPr>
      </w:pPr>
      <w:r w:rsidRPr="002E2EF3">
        <w:rPr>
          <w:rFonts w:ascii="Arial" w:eastAsia="Arial" w:hAnsi="Arial" w:cs="Arial"/>
          <w:lang w:val="en-US" w:eastAsia="en-US"/>
        </w:rPr>
        <w:t>All academic and learning support staff</w:t>
      </w:r>
      <w:hyperlink w:anchor="_bookmark0" w:history="1">
        <w:r w:rsidRPr="002E2EF3">
          <w:rPr>
            <w:rFonts w:ascii="Arial" w:eastAsia="Arial" w:hAnsi="Arial" w:cs="Arial"/>
            <w:vertAlign w:val="superscript"/>
            <w:lang w:val="en-US" w:eastAsia="en-US"/>
          </w:rPr>
          <w:t>1</w:t>
        </w:r>
        <w:r w:rsidRPr="002E2EF3">
          <w:rPr>
            <w:rFonts w:ascii="Arial" w:eastAsia="Arial" w:hAnsi="Arial" w:cs="Arial"/>
            <w:lang w:val="en-US" w:eastAsia="en-US"/>
          </w:rPr>
          <w:t xml:space="preserve"> </w:t>
        </w:r>
      </w:hyperlink>
      <w:r w:rsidR="00D82806" w:rsidRPr="002E2EF3">
        <w:rPr>
          <w:rFonts w:ascii="Arial" w:eastAsia="Arial" w:hAnsi="Arial" w:cs="Arial"/>
          <w:lang w:val="en-US" w:eastAsia="en-US"/>
        </w:rPr>
        <w:t xml:space="preserve">will undertake Peer Review and Enhancement (PRE) each year </w:t>
      </w:r>
      <w:proofErr w:type="gramStart"/>
      <w:r w:rsidR="00D82806" w:rsidRPr="002E2EF3">
        <w:rPr>
          <w:rFonts w:ascii="Arial" w:eastAsia="Arial" w:hAnsi="Arial" w:cs="Arial"/>
          <w:lang w:val="en-US" w:eastAsia="en-US"/>
        </w:rPr>
        <w:t>in order</w:t>
      </w:r>
      <w:r w:rsidR="00D82806" w:rsidRPr="002E2EF3">
        <w:rPr>
          <w:rFonts w:ascii="Arial" w:eastAsia="Arial" w:hAnsi="Arial" w:cs="Arial"/>
          <w:spacing w:val="-6"/>
          <w:lang w:val="en-US" w:eastAsia="en-US"/>
        </w:rPr>
        <w:t xml:space="preserve"> </w:t>
      </w:r>
      <w:r w:rsidR="00D82806" w:rsidRPr="002E2EF3">
        <w:rPr>
          <w:rFonts w:ascii="Arial" w:eastAsia="Arial" w:hAnsi="Arial" w:cs="Arial"/>
          <w:lang w:val="en-US" w:eastAsia="en-US"/>
        </w:rPr>
        <w:t>to</w:t>
      </w:r>
      <w:proofErr w:type="gramEnd"/>
      <w:r w:rsidRPr="002E2EF3">
        <w:rPr>
          <w:rFonts w:ascii="Arial" w:eastAsia="Arial" w:hAnsi="Arial" w:cs="Arial"/>
          <w:lang w:val="en-US" w:eastAsia="en-US"/>
        </w:rPr>
        <w:t>:</w:t>
      </w:r>
    </w:p>
    <w:p w14:paraId="207B1162" w14:textId="77777777" w:rsidR="006804F8" w:rsidRPr="002E2EF3" w:rsidRDefault="006804F8" w:rsidP="006804F8">
      <w:pPr>
        <w:pStyle w:val="ListParagraph"/>
        <w:widowControl w:val="0"/>
        <w:autoSpaceDE w:val="0"/>
        <w:autoSpaceDN w:val="0"/>
        <w:spacing w:before="40" w:after="0"/>
        <w:ind w:left="360" w:hanging="360"/>
        <w:rPr>
          <w:rFonts w:ascii="Arial" w:eastAsia="Arial" w:hAnsi="Arial" w:cs="Arial"/>
          <w:lang w:val="en-US" w:eastAsia="en-US"/>
        </w:rPr>
      </w:pPr>
    </w:p>
    <w:p w14:paraId="2C5086AD" w14:textId="712558FE" w:rsidR="00D82806" w:rsidRPr="006804F8" w:rsidRDefault="006804F8" w:rsidP="006804F8">
      <w:pPr>
        <w:pStyle w:val="ListParagraph"/>
        <w:widowControl w:val="0"/>
        <w:numPr>
          <w:ilvl w:val="1"/>
          <w:numId w:val="12"/>
        </w:numPr>
        <w:autoSpaceDE w:val="0"/>
        <w:autoSpaceDN w:val="0"/>
        <w:spacing w:before="38" w:after="0" w:line="276" w:lineRule="auto"/>
        <w:ind w:right="115"/>
        <w:rPr>
          <w:rFonts w:ascii="Arial" w:eastAsia="Arial" w:hAnsi="Arial" w:cs="Arial"/>
          <w:lang w:val="en-US" w:eastAsia="en-US"/>
        </w:rPr>
      </w:pPr>
      <w:r w:rsidRPr="006804F8">
        <w:rPr>
          <w:rFonts w:ascii="Arial" w:eastAsia="Arial" w:hAnsi="Arial" w:cs="Arial"/>
          <w:lang w:val="en-US" w:eastAsia="en-US"/>
        </w:rPr>
        <w:t>C</w:t>
      </w:r>
      <w:r w:rsidR="00D82806" w:rsidRPr="006804F8">
        <w:rPr>
          <w:rFonts w:ascii="Arial" w:eastAsia="Arial" w:hAnsi="Arial" w:cs="Arial"/>
          <w:lang w:val="en-US" w:eastAsia="en-US"/>
        </w:rPr>
        <w:t>ontinue to develop the quality of their teaching and their support for student learning</w:t>
      </w:r>
      <w:r w:rsidR="00D82806" w:rsidRPr="006804F8">
        <w:rPr>
          <w:rFonts w:ascii="Arial" w:eastAsia="Arial" w:hAnsi="Arial" w:cs="Arial"/>
          <w:spacing w:val="1"/>
          <w:lang w:val="en-US" w:eastAsia="en-US"/>
        </w:rPr>
        <w:t xml:space="preserve"> </w:t>
      </w:r>
      <w:r w:rsidR="00D82806" w:rsidRPr="006804F8">
        <w:rPr>
          <w:rFonts w:ascii="Arial" w:eastAsia="Arial" w:hAnsi="Arial" w:cs="Arial"/>
          <w:lang w:val="en-US" w:eastAsia="en-US"/>
        </w:rPr>
        <w:t>practice</w:t>
      </w:r>
      <w:r w:rsidR="009D2F7F" w:rsidRPr="006804F8">
        <w:rPr>
          <w:rFonts w:ascii="Arial" w:eastAsia="Arial" w:hAnsi="Arial" w:cs="Arial"/>
          <w:lang w:val="en-US" w:eastAsia="en-US"/>
        </w:rPr>
        <w:t xml:space="preserve"> </w:t>
      </w:r>
      <w:hyperlink w:anchor="_bookmark1" w:history="1">
        <w:r w:rsidR="00D82806" w:rsidRPr="006804F8">
          <w:rPr>
            <w:rFonts w:ascii="Arial" w:eastAsia="Arial" w:hAnsi="Arial" w:cs="Arial"/>
            <w:vertAlign w:val="superscript"/>
            <w:lang w:val="en-US" w:eastAsia="en-US"/>
          </w:rPr>
          <w:t>2</w:t>
        </w:r>
      </w:hyperlink>
      <w:r w:rsidR="00D82806" w:rsidRPr="006804F8">
        <w:rPr>
          <w:rFonts w:ascii="Arial" w:eastAsia="Arial" w:hAnsi="Arial" w:cs="Arial"/>
          <w:lang w:val="en-US" w:eastAsia="en-US"/>
        </w:rPr>
        <w:t>;</w:t>
      </w:r>
    </w:p>
    <w:p w14:paraId="284B634E" w14:textId="70D8365C" w:rsidR="00D82806" w:rsidRPr="006804F8" w:rsidRDefault="006804F8" w:rsidP="006804F8">
      <w:pPr>
        <w:pStyle w:val="ListParagraph"/>
        <w:widowControl w:val="0"/>
        <w:numPr>
          <w:ilvl w:val="1"/>
          <w:numId w:val="12"/>
        </w:numPr>
        <w:autoSpaceDE w:val="0"/>
        <w:autoSpaceDN w:val="0"/>
        <w:spacing w:before="38" w:after="0" w:line="276" w:lineRule="auto"/>
        <w:ind w:right="115"/>
        <w:rPr>
          <w:rFonts w:ascii="Arial" w:eastAsia="Arial" w:hAnsi="Arial" w:cs="Arial"/>
          <w:lang w:val="en-US" w:eastAsia="en-US"/>
        </w:rPr>
      </w:pPr>
      <w:r w:rsidRPr="006804F8">
        <w:rPr>
          <w:rFonts w:ascii="Arial" w:eastAsia="Arial" w:hAnsi="Arial" w:cs="Arial"/>
          <w:lang w:val="en-US" w:eastAsia="en-US"/>
        </w:rPr>
        <w:t>Remain</w:t>
      </w:r>
      <w:r w:rsidR="00D82806" w:rsidRPr="006804F8">
        <w:rPr>
          <w:rFonts w:ascii="Arial" w:eastAsia="Arial" w:hAnsi="Arial" w:cs="Arial"/>
          <w:lang w:val="en-US" w:eastAsia="en-US"/>
        </w:rPr>
        <w:t xml:space="preserve"> in good standing as professionals in higher</w:t>
      </w:r>
      <w:r w:rsidR="00D82806" w:rsidRPr="006804F8">
        <w:rPr>
          <w:rFonts w:ascii="Arial" w:eastAsia="Arial" w:hAnsi="Arial" w:cs="Arial"/>
          <w:spacing w:val="-2"/>
          <w:lang w:val="en-US" w:eastAsia="en-US"/>
        </w:rPr>
        <w:t xml:space="preserve"> </w:t>
      </w:r>
      <w:r w:rsidR="00D82806" w:rsidRPr="006804F8">
        <w:rPr>
          <w:rFonts w:ascii="Arial" w:eastAsia="Arial" w:hAnsi="Arial" w:cs="Arial"/>
          <w:lang w:val="en-US" w:eastAsia="en-US"/>
        </w:rPr>
        <w:t>education.</w:t>
      </w:r>
    </w:p>
    <w:p w14:paraId="2C5699D2" w14:textId="77777777" w:rsidR="006804F8" w:rsidRPr="002E2EF3" w:rsidRDefault="006804F8" w:rsidP="006804F8">
      <w:pPr>
        <w:pStyle w:val="ListParagraph"/>
        <w:widowControl w:val="0"/>
        <w:autoSpaceDE w:val="0"/>
        <w:autoSpaceDN w:val="0"/>
        <w:spacing w:before="38" w:after="0" w:line="276" w:lineRule="auto"/>
        <w:ind w:left="360" w:right="115" w:hanging="360"/>
        <w:rPr>
          <w:rFonts w:ascii="Arial" w:eastAsia="Arial" w:hAnsi="Arial" w:cs="Arial"/>
          <w:lang w:val="en-US" w:eastAsia="en-US"/>
        </w:rPr>
      </w:pPr>
    </w:p>
    <w:p w14:paraId="6F2D739C" w14:textId="7A65DA7B" w:rsidR="00D82806" w:rsidRDefault="003C4E19" w:rsidP="006804F8">
      <w:pPr>
        <w:pStyle w:val="ListParagraph"/>
        <w:widowControl w:val="0"/>
        <w:numPr>
          <w:ilvl w:val="0"/>
          <w:numId w:val="12"/>
        </w:numPr>
        <w:autoSpaceDE w:val="0"/>
        <w:autoSpaceDN w:val="0"/>
        <w:spacing w:after="0" w:line="273" w:lineRule="auto"/>
        <w:ind w:left="360" w:right="116"/>
        <w:rPr>
          <w:rFonts w:ascii="Arial" w:eastAsia="Arial" w:hAnsi="Arial" w:cs="Arial"/>
          <w:lang w:val="en-US" w:eastAsia="en-US"/>
        </w:rPr>
      </w:pPr>
      <w:r w:rsidRPr="003C4E19">
        <w:rPr>
          <w:rFonts w:ascii="Arial" w:eastAsia="Arial" w:hAnsi="Arial" w:cs="Arial"/>
          <w:lang w:val="en-US" w:eastAsia="en-US"/>
        </w:rPr>
        <w:t>Where staff are involved i</w:t>
      </w:r>
      <w:r w:rsidRPr="006804F8">
        <w:rPr>
          <w:rFonts w:ascii="Arial" w:eastAsia="Calibri" w:hAnsi="Arial" w:cs="Arial"/>
          <w:color w:val="000000" w:themeColor="text1"/>
          <w:lang w:eastAsia="en-US"/>
        </w:rPr>
        <w:t xml:space="preserve">n teaching students, PRE must include observation. This means being observed by a </w:t>
      </w:r>
      <w:proofErr w:type="gramStart"/>
      <w:r w:rsidRPr="006804F8">
        <w:rPr>
          <w:rFonts w:ascii="Arial" w:eastAsia="Calibri" w:hAnsi="Arial" w:cs="Arial"/>
          <w:color w:val="000000" w:themeColor="text1"/>
          <w:lang w:eastAsia="en-US"/>
        </w:rPr>
        <w:t>peer / peers</w:t>
      </w:r>
      <w:proofErr w:type="gramEnd"/>
      <w:r w:rsidRPr="006804F8">
        <w:rPr>
          <w:rFonts w:ascii="Arial" w:eastAsia="Calibri" w:hAnsi="Arial" w:cs="Arial"/>
          <w:color w:val="000000" w:themeColor="text1"/>
          <w:lang w:eastAsia="en-US"/>
        </w:rPr>
        <w:t xml:space="preserve"> in order to critically reflect on and develop professional practice in relation to the engagement of students in </w:t>
      </w:r>
      <w:r w:rsidR="006804F8">
        <w:rPr>
          <w:rFonts w:ascii="Arial" w:eastAsia="Calibri" w:hAnsi="Arial" w:cs="Arial"/>
          <w:color w:val="000000" w:themeColor="text1"/>
          <w:lang w:eastAsia="en-US"/>
        </w:rPr>
        <w:t>learning</w:t>
      </w:r>
      <w:r>
        <w:rPr>
          <w:rFonts w:ascii="Arial" w:eastAsia="Arial" w:hAnsi="Arial" w:cs="Arial"/>
          <w:lang w:val="en-US" w:eastAsia="en-US"/>
        </w:rPr>
        <w:t xml:space="preserve"> environments</w:t>
      </w:r>
      <w:r w:rsidR="00D82806" w:rsidRPr="003C4E19">
        <w:rPr>
          <w:rFonts w:ascii="Arial" w:eastAsia="Arial" w:hAnsi="Arial" w:cs="Arial"/>
          <w:position w:val="9"/>
          <w:sz w:val="16"/>
          <w:lang w:val="en-US" w:eastAsia="en-US"/>
        </w:rPr>
        <w:t>3</w:t>
      </w:r>
      <w:r w:rsidR="006804F8">
        <w:rPr>
          <w:rFonts w:ascii="Arial" w:eastAsia="Arial" w:hAnsi="Arial" w:cs="Arial"/>
          <w:lang w:val="en-US" w:eastAsia="en-US"/>
        </w:rPr>
        <w:t>.</w:t>
      </w:r>
    </w:p>
    <w:p w14:paraId="3C2CF2B8" w14:textId="77777777" w:rsidR="006804F8" w:rsidRPr="003C4E19" w:rsidRDefault="006804F8" w:rsidP="006804F8">
      <w:pPr>
        <w:pStyle w:val="ListParagraph"/>
        <w:widowControl w:val="0"/>
        <w:autoSpaceDE w:val="0"/>
        <w:autoSpaceDN w:val="0"/>
        <w:spacing w:after="0" w:line="273" w:lineRule="auto"/>
        <w:ind w:left="360" w:right="116" w:hanging="360"/>
        <w:rPr>
          <w:rFonts w:ascii="Arial" w:eastAsia="Arial" w:hAnsi="Arial" w:cs="Arial"/>
          <w:lang w:val="en-US" w:eastAsia="en-US"/>
        </w:rPr>
      </w:pPr>
    </w:p>
    <w:p w14:paraId="3DB9246E" w14:textId="0D9FAAE9" w:rsidR="00D82806" w:rsidRDefault="003B7D0F" w:rsidP="006804F8">
      <w:pPr>
        <w:pStyle w:val="ListParagraph"/>
        <w:widowControl w:val="0"/>
        <w:numPr>
          <w:ilvl w:val="0"/>
          <w:numId w:val="12"/>
        </w:numPr>
        <w:autoSpaceDE w:val="0"/>
        <w:autoSpaceDN w:val="0"/>
        <w:spacing w:after="0" w:line="273" w:lineRule="auto"/>
        <w:ind w:left="360" w:right="116"/>
        <w:rPr>
          <w:rFonts w:ascii="Arial" w:eastAsia="Arial" w:hAnsi="Arial" w:cs="Arial"/>
          <w:lang w:val="en-US" w:eastAsia="en-US"/>
        </w:rPr>
      </w:pPr>
      <w:r w:rsidRPr="002E2EF3">
        <w:rPr>
          <w:rFonts w:ascii="Arial" w:eastAsia="Arial" w:hAnsi="Arial" w:cs="Arial"/>
          <w:lang w:val="en-US" w:eastAsia="en-US"/>
        </w:rPr>
        <w:t>W</w:t>
      </w:r>
      <w:r w:rsidR="00D82806" w:rsidRPr="002E2EF3">
        <w:rPr>
          <w:rFonts w:ascii="Arial" w:eastAsia="Arial" w:hAnsi="Arial" w:cs="Arial"/>
          <w:lang w:val="en-US" w:eastAsia="en-US"/>
        </w:rPr>
        <w:t xml:space="preserve">here staff are not involved in teaching students, PRE must involve observed student support interactions, and / or reflections on the student-facing aspects of their professional practice with a colleague. </w:t>
      </w:r>
    </w:p>
    <w:p w14:paraId="76DA91D6" w14:textId="77777777" w:rsidR="006804F8" w:rsidRPr="002E2EF3" w:rsidRDefault="006804F8" w:rsidP="006804F8">
      <w:pPr>
        <w:pStyle w:val="ListParagraph"/>
        <w:widowControl w:val="0"/>
        <w:autoSpaceDE w:val="0"/>
        <w:autoSpaceDN w:val="0"/>
        <w:spacing w:after="0" w:line="273" w:lineRule="auto"/>
        <w:ind w:left="360" w:right="116" w:hanging="360"/>
        <w:rPr>
          <w:rFonts w:ascii="Arial" w:eastAsia="Arial" w:hAnsi="Arial" w:cs="Arial"/>
          <w:lang w:val="en-US" w:eastAsia="en-US"/>
        </w:rPr>
      </w:pPr>
    </w:p>
    <w:p w14:paraId="02B75413" w14:textId="763D3098" w:rsidR="00D82806" w:rsidRDefault="003B7D0F" w:rsidP="006804F8">
      <w:pPr>
        <w:pStyle w:val="ListParagraph"/>
        <w:widowControl w:val="0"/>
        <w:numPr>
          <w:ilvl w:val="0"/>
          <w:numId w:val="12"/>
        </w:numPr>
        <w:autoSpaceDE w:val="0"/>
        <w:autoSpaceDN w:val="0"/>
        <w:spacing w:after="0" w:line="273" w:lineRule="auto"/>
        <w:ind w:left="360" w:right="116"/>
        <w:rPr>
          <w:rFonts w:ascii="Arial" w:eastAsia="Arial" w:hAnsi="Arial" w:cs="Arial"/>
          <w:lang w:val="en-US" w:eastAsia="en-US"/>
        </w:rPr>
      </w:pPr>
      <w:r w:rsidRPr="002E2EF3">
        <w:rPr>
          <w:rFonts w:ascii="Arial" w:eastAsia="Arial" w:hAnsi="Arial" w:cs="Arial"/>
          <w:lang w:val="en-US" w:eastAsia="en-US"/>
        </w:rPr>
        <w:t>O</w:t>
      </w:r>
      <w:r w:rsidR="00D82806" w:rsidRPr="002E2EF3">
        <w:rPr>
          <w:rFonts w:ascii="Arial" w:eastAsia="Arial" w:hAnsi="Arial" w:cs="Arial"/>
          <w:lang w:val="en-US" w:eastAsia="en-US"/>
        </w:rPr>
        <w:t xml:space="preserve">utcomes of PRE will form part of the annual staff Performance and Development Review (PDR) process with both strengths and development needs identified </w:t>
      </w:r>
    </w:p>
    <w:p w14:paraId="3A19AD7D" w14:textId="77777777" w:rsidR="006804F8" w:rsidRPr="002E2EF3" w:rsidRDefault="006804F8" w:rsidP="006804F8">
      <w:pPr>
        <w:pStyle w:val="ListParagraph"/>
        <w:widowControl w:val="0"/>
        <w:autoSpaceDE w:val="0"/>
        <w:autoSpaceDN w:val="0"/>
        <w:spacing w:after="0" w:line="273" w:lineRule="auto"/>
        <w:ind w:left="360" w:right="116" w:hanging="360"/>
        <w:rPr>
          <w:rFonts w:ascii="Arial" w:eastAsia="Arial" w:hAnsi="Arial" w:cs="Arial"/>
          <w:lang w:val="en-US" w:eastAsia="en-US"/>
        </w:rPr>
      </w:pPr>
    </w:p>
    <w:p w14:paraId="4E2114A6" w14:textId="1D4080A1" w:rsidR="00D82806" w:rsidRPr="002E2EF3" w:rsidRDefault="00D82806" w:rsidP="006804F8">
      <w:pPr>
        <w:pStyle w:val="ListParagraph"/>
        <w:widowControl w:val="0"/>
        <w:numPr>
          <w:ilvl w:val="0"/>
          <w:numId w:val="12"/>
        </w:numPr>
        <w:autoSpaceDE w:val="0"/>
        <w:autoSpaceDN w:val="0"/>
        <w:spacing w:before="3" w:after="0" w:line="271" w:lineRule="auto"/>
        <w:ind w:left="360" w:right="116"/>
        <w:rPr>
          <w:rFonts w:ascii="Arial" w:eastAsia="Arial" w:hAnsi="Arial" w:cs="Arial"/>
          <w:lang w:val="en-US" w:eastAsia="en-US"/>
        </w:rPr>
      </w:pPr>
      <w:r w:rsidRPr="002E2EF3">
        <w:rPr>
          <w:rFonts w:ascii="Arial" w:eastAsia="Arial" w:hAnsi="Arial" w:cs="Arial"/>
          <w:lang w:val="en-US" w:eastAsia="en-US"/>
        </w:rPr>
        <w:t xml:space="preserve">Departments will identify annual themes from Peer Review and Enhancement activities </w:t>
      </w:r>
      <w:proofErr w:type="gramStart"/>
      <w:r w:rsidRPr="002E2EF3">
        <w:rPr>
          <w:rFonts w:ascii="Arial" w:eastAsia="Arial" w:hAnsi="Arial" w:cs="Arial"/>
          <w:lang w:val="en-US" w:eastAsia="en-US"/>
        </w:rPr>
        <w:t>in order to</w:t>
      </w:r>
      <w:proofErr w:type="gramEnd"/>
      <w:r w:rsidRPr="002E2EF3">
        <w:rPr>
          <w:rFonts w:ascii="Arial" w:eastAsia="Arial" w:hAnsi="Arial" w:cs="Arial"/>
          <w:lang w:val="en-US" w:eastAsia="en-US"/>
        </w:rPr>
        <w:t xml:space="preserve"> identify and share best practice and provide / request needed development activities.</w:t>
      </w:r>
    </w:p>
    <w:p w14:paraId="6622038A" w14:textId="77777777" w:rsidR="00D82806" w:rsidRPr="002E2EF3" w:rsidRDefault="00D82806" w:rsidP="00D82806">
      <w:pPr>
        <w:widowControl w:val="0"/>
        <w:tabs>
          <w:tab w:val="left" w:pos="548"/>
        </w:tabs>
        <w:autoSpaceDE w:val="0"/>
        <w:autoSpaceDN w:val="0"/>
        <w:spacing w:before="3" w:after="0" w:line="271" w:lineRule="auto"/>
        <w:ind w:right="116"/>
        <w:rPr>
          <w:rFonts w:ascii="Arial" w:eastAsia="Arial" w:hAnsi="Arial" w:cs="Arial"/>
          <w:lang w:val="en-US" w:eastAsia="en-US"/>
        </w:rPr>
      </w:pPr>
    </w:p>
    <w:p w14:paraId="7D01A959" w14:textId="2396AEEE" w:rsidR="00D82806" w:rsidRPr="002E2EF3" w:rsidRDefault="00D82806" w:rsidP="00D82806">
      <w:pPr>
        <w:widowControl w:val="0"/>
        <w:tabs>
          <w:tab w:val="left" w:pos="548"/>
        </w:tabs>
        <w:autoSpaceDE w:val="0"/>
        <w:autoSpaceDN w:val="0"/>
        <w:spacing w:before="3" w:after="0" w:line="271" w:lineRule="auto"/>
        <w:ind w:right="116"/>
        <w:rPr>
          <w:rFonts w:ascii="Arial" w:eastAsia="Arial" w:hAnsi="Arial" w:cs="Arial"/>
          <w:b/>
          <w:lang w:val="en-US" w:eastAsia="en-US"/>
        </w:rPr>
      </w:pPr>
      <w:r w:rsidRPr="002E2EF3">
        <w:rPr>
          <w:rFonts w:ascii="Arial" w:eastAsia="Arial" w:hAnsi="Arial" w:cs="Arial"/>
          <w:b/>
          <w:lang w:val="en-US" w:eastAsia="en-US"/>
        </w:rPr>
        <w:t>Rationale</w:t>
      </w:r>
      <w:r w:rsidR="002E2EF3">
        <w:rPr>
          <w:rFonts w:ascii="Arial" w:eastAsia="Arial" w:hAnsi="Arial" w:cs="Arial"/>
          <w:b/>
          <w:lang w:val="en-US" w:eastAsia="en-US"/>
        </w:rPr>
        <w:t>:</w:t>
      </w:r>
    </w:p>
    <w:p w14:paraId="43CAA55B" w14:textId="1B9517C8" w:rsidR="00D82806" w:rsidRDefault="00D82806" w:rsidP="00D82806">
      <w:pPr>
        <w:widowControl w:val="0"/>
        <w:autoSpaceDE w:val="0"/>
        <w:autoSpaceDN w:val="0"/>
        <w:spacing w:after="0"/>
        <w:rPr>
          <w:rFonts w:ascii="Arial" w:eastAsia="Arial" w:hAnsi="Arial" w:cs="Arial"/>
          <w:lang w:val="en-US" w:eastAsia="en-US"/>
        </w:rPr>
      </w:pPr>
      <w:r w:rsidRPr="002E2EF3">
        <w:rPr>
          <w:rFonts w:ascii="Arial" w:eastAsia="Arial" w:hAnsi="Arial" w:cs="Arial"/>
          <w:lang w:val="en-US" w:eastAsia="en-US"/>
        </w:rPr>
        <w:t>The P</w:t>
      </w:r>
      <w:r w:rsidR="003B7D0F" w:rsidRPr="002E2EF3">
        <w:rPr>
          <w:rFonts w:ascii="Arial" w:eastAsia="Arial" w:hAnsi="Arial" w:cs="Arial"/>
          <w:lang w:val="en-US" w:eastAsia="en-US"/>
        </w:rPr>
        <w:t>olicy for P</w:t>
      </w:r>
      <w:r w:rsidRPr="002E2EF3">
        <w:rPr>
          <w:rFonts w:ascii="Arial" w:eastAsia="Arial" w:hAnsi="Arial" w:cs="Arial"/>
          <w:lang w:val="en-US" w:eastAsia="en-US"/>
        </w:rPr>
        <w:t xml:space="preserve">eer Review and Enhancement </w:t>
      </w:r>
      <w:r w:rsidR="00B84C6D" w:rsidRPr="002E2EF3">
        <w:rPr>
          <w:rFonts w:ascii="Arial" w:eastAsia="Calibri" w:hAnsi="Arial" w:cs="Arial"/>
          <w:lang w:eastAsia="en-US"/>
        </w:rPr>
        <w:t xml:space="preserve">when implemented will ensure a consistent approach </w:t>
      </w:r>
      <w:r w:rsidR="00B84C6D" w:rsidRPr="002E2EF3">
        <w:rPr>
          <w:rFonts w:ascii="Arial" w:eastAsia="Arial" w:hAnsi="Arial" w:cs="Arial"/>
          <w:lang w:val="en-US" w:eastAsia="en-US"/>
        </w:rPr>
        <w:t>to</w:t>
      </w:r>
      <w:r w:rsidRPr="002E2EF3">
        <w:rPr>
          <w:rFonts w:ascii="Arial" w:eastAsia="Arial" w:hAnsi="Arial" w:cs="Arial"/>
          <w:lang w:val="en-US" w:eastAsia="en-US"/>
        </w:rPr>
        <w:t>:</w:t>
      </w:r>
    </w:p>
    <w:p w14:paraId="2DCA099B" w14:textId="77777777" w:rsidR="006804F8" w:rsidRPr="002E2EF3" w:rsidRDefault="006804F8" w:rsidP="00D82806">
      <w:pPr>
        <w:widowControl w:val="0"/>
        <w:autoSpaceDE w:val="0"/>
        <w:autoSpaceDN w:val="0"/>
        <w:spacing w:after="0"/>
        <w:rPr>
          <w:rFonts w:ascii="Arial" w:eastAsia="Arial" w:hAnsi="Arial" w:cs="Arial"/>
          <w:lang w:val="en-US" w:eastAsia="en-US"/>
        </w:rPr>
      </w:pPr>
    </w:p>
    <w:p w14:paraId="50366ECC" w14:textId="541D39B2" w:rsidR="00D82806" w:rsidRPr="002E2EF3" w:rsidRDefault="003B7D0F" w:rsidP="00565359">
      <w:pPr>
        <w:pStyle w:val="ListParagraph"/>
        <w:widowControl w:val="0"/>
        <w:numPr>
          <w:ilvl w:val="0"/>
          <w:numId w:val="18"/>
        </w:numPr>
        <w:autoSpaceDE w:val="0"/>
        <w:autoSpaceDN w:val="0"/>
        <w:spacing w:before="38" w:after="0" w:line="276" w:lineRule="auto"/>
        <w:ind w:left="709" w:right="117"/>
        <w:jc w:val="both"/>
        <w:rPr>
          <w:rFonts w:ascii="Arial" w:eastAsia="Arial" w:hAnsi="Arial" w:cs="Arial"/>
          <w:lang w:val="en-US" w:eastAsia="en-US"/>
        </w:rPr>
      </w:pPr>
      <w:r w:rsidRPr="002E2EF3">
        <w:rPr>
          <w:rFonts w:ascii="Arial" w:eastAsia="Arial" w:hAnsi="Arial" w:cs="Arial"/>
          <w:lang w:val="en-US" w:eastAsia="en-US"/>
        </w:rPr>
        <w:t>e</w:t>
      </w:r>
      <w:r w:rsidR="00D82806" w:rsidRPr="002E2EF3">
        <w:rPr>
          <w:rFonts w:ascii="Arial" w:eastAsia="Arial" w:hAnsi="Arial" w:cs="Arial"/>
          <w:lang w:val="en-US" w:eastAsia="en-US"/>
        </w:rPr>
        <w:t>nhanc</w:t>
      </w:r>
      <w:r w:rsidRPr="002E2EF3">
        <w:rPr>
          <w:rFonts w:ascii="Arial" w:eastAsia="Arial" w:hAnsi="Arial" w:cs="Arial"/>
          <w:lang w:val="en-US" w:eastAsia="en-US"/>
        </w:rPr>
        <w:t xml:space="preserve">ing </w:t>
      </w:r>
      <w:r w:rsidR="00D82806" w:rsidRPr="002E2EF3">
        <w:rPr>
          <w:rFonts w:ascii="Arial" w:eastAsia="Arial" w:hAnsi="Arial" w:cs="Arial"/>
          <w:lang w:val="en-US" w:eastAsia="en-US"/>
        </w:rPr>
        <w:t xml:space="preserve">professional practice of teaching and the support of student learning through a </w:t>
      </w:r>
      <w:proofErr w:type="spellStart"/>
      <w:r w:rsidR="00D82806" w:rsidRPr="002E2EF3">
        <w:rPr>
          <w:rFonts w:ascii="Arial" w:eastAsia="Arial" w:hAnsi="Arial" w:cs="Arial"/>
          <w:lang w:val="en-US" w:eastAsia="en-US"/>
        </w:rPr>
        <w:t>personalised</w:t>
      </w:r>
      <w:proofErr w:type="spellEnd"/>
      <w:r w:rsidR="00D82806" w:rsidRPr="002E2EF3">
        <w:rPr>
          <w:rFonts w:ascii="Arial" w:eastAsia="Arial" w:hAnsi="Arial" w:cs="Arial"/>
          <w:lang w:val="en-US" w:eastAsia="en-US"/>
        </w:rPr>
        <w:t xml:space="preserve"> process of peer review and supported</w:t>
      </w:r>
      <w:r w:rsidR="00D82806" w:rsidRPr="002E2EF3">
        <w:rPr>
          <w:rFonts w:ascii="Arial" w:eastAsia="Arial" w:hAnsi="Arial" w:cs="Arial"/>
          <w:spacing w:val="-11"/>
          <w:lang w:val="en-US" w:eastAsia="en-US"/>
        </w:rPr>
        <w:t xml:space="preserve"> </w:t>
      </w:r>
      <w:proofErr w:type="gramStart"/>
      <w:r w:rsidR="00D82806" w:rsidRPr="002E2EF3">
        <w:rPr>
          <w:rFonts w:ascii="Arial" w:eastAsia="Arial" w:hAnsi="Arial" w:cs="Arial"/>
          <w:lang w:val="en-US" w:eastAsia="en-US"/>
        </w:rPr>
        <w:t>development;</w:t>
      </w:r>
      <w:proofErr w:type="gramEnd"/>
    </w:p>
    <w:p w14:paraId="534560AC" w14:textId="55356421" w:rsidR="00D82806" w:rsidRPr="002E2EF3" w:rsidRDefault="003B7D0F" w:rsidP="00565359">
      <w:pPr>
        <w:pStyle w:val="ListParagraph"/>
        <w:widowControl w:val="0"/>
        <w:numPr>
          <w:ilvl w:val="0"/>
          <w:numId w:val="18"/>
        </w:numPr>
        <w:tabs>
          <w:tab w:val="left" w:pos="284"/>
        </w:tabs>
        <w:autoSpaceDE w:val="0"/>
        <w:autoSpaceDN w:val="0"/>
        <w:spacing w:before="2" w:after="0" w:line="268" w:lineRule="auto"/>
        <w:ind w:left="709" w:right="123"/>
        <w:jc w:val="both"/>
        <w:rPr>
          <w:rFonts w:ascii="Arial" w:eastAsia="Arial" w:hAnsi="Arial" w:cs="Arial"/>
          <w:lang w:val="en-US" w:eastAsia="en-US"/>
        </w:rPr>
      </w:pPr>
      <w:r w:rsidRPr="002E2EF3">
        <w:rPr>
          <w:rFonts w:ascii="Arial" w:eastAsia="Arial" w:hAnsi="Arial" w:cs="Arial"/>
          <w:lang w:val="en-US" w:eastAsia="en-US"/>
        </w:rPr>
        <w:t>promoting and enhancing</w:t>
      </w:r>
      <w:r w:rsidR="00D82806" w:rsidRPr="002E2EF3">
        <w:rPr>
          <w:rFonts w:ascii="Arial" w:eastAsia="Arial" w:hAnsi="Arial" w:cs="Arial"/>
          <w:lang w:val="en-US" w:eastAsia="en-US"/>
        </w:rPr>
        <w:t xml:space="preserve"> the scholarship of learning and teaching through reflective </w:t>
      </w:r>
      <w:proofErr w:type="gramStart"/>
      <w:r w:rsidR="00D82806" w:rsidRPr="002E2EF3">
        <w:rPr>
          <w:rFonts w:ascii="Arial" w:eastAsia="Arial" w:hAnsi="Arial" w:cs="Arial"/>
          <w:lang w:val="en-US" w:eastAsia="en-US"/>
        </w:rPr>
        <w:t>practice;</w:t>
      </w:r>
      <w:proofErr w:type="gramEnd"/>
    </w:p>
    <w:p w14:paraId="279A9B26" w14:textId="5D8738CF" w:rsidR="00D82806" w:rsidRPr="002E2EF3" w:rsidRDefault="003B7D0F" w:rsidP="00565359">
      <w:pPr>
        <w:pStyle w:val="ListParagraph"/>
        <w:widowControl w:val="0"/>
        <w:numPr>
          <w:ilvl w:val="0"/>
          <w:numId w:val="18"/>
        </w:numPr>
        <w:tabs>
          <w:tab w:val="left" w:pos="284"/>
        </w:tabs>
        <w:autoSpaceDE w:val="0"/>
        <w:autoSpaceDN w:val="0"/>
        <w:spacing w:before="7" w:after="0" w:line="268" w:lineRule="auto"/>
        <w:ind w:left="709" w:right="114"/>
        <w:jc w:val="both"/>
        <w:rPr>
          <w:rFonts w:ascii="Arial" w:eastAsia="Arial" w:hAnsi="Arial" w:cs="Arial"/>
          <w:lang w:val="en-US" w:eastAsia="en-US"/>
        </w:rPr>
      </w:pPr>
      <w:r w:rsidRPr="002E2EF3">
        <w:rPr>
          <w:rFonts w:ascii="Arial" w:eastAsia="Arial" w:hAnsi="Arial" w:cs="Arial"/>
          <w:lang w:val="en-US" w:eastAsia="en-US"/>
        </w:rPr>
        <w:t>providing</w:t>
      </w:r>
      <w:r w:rsidR="00D82806" w:rsidRPr="002E2EF3">
        <w:rPr>
          <w:rFonts w:ascii="Arial" w:eastAsia="Arial" w:hAnsi="Arial" w:cs="Arial"/>
          <w:lang w:val="en-US" w:eastAsia="en-US"/>
        </w:rPr>
        <w:t xml:space="preserve"> academic and learning support staff with a reliable method to remain in good standing as</w:t>
      </w:r>
      <w:r w:rsidR="00D82806" w:rsidRPr="002E2EF3">
        <w:rPr>
          <w:rFonts w:ascii="Arial" w:eastAsia="Arial" w:hAnsi="Arial" w:cs="Arial"/>
          <w:spacing w:val="-2"/>
          <w:lang w:val="en-US" w:eastAsia="en-US"/>
        </w:rPr>
        <w:t xml:space="preserve"> </w:t>
      </w:r>
      <w:proofErr w:type="gramStart"/>
      <w:r w:rsidR="00D82806" w:rsidRPr="002E2EF3">
        <w:rPr>
          <w:rFonts w:ascii="Arial" w:eastAsia="Arial" w:hAnsi="Arial" w:cs="Arial"/>
          <w:lang w:val="en-US" w:eastAsia="en-US"/>
        </w:rPr>
        <w:t>academics</w:t>
      </w:r>
      <w:r w:rsidRPr="002E2EF3">
        <w:rPr>
          <w:rFonts w:ascii="Arial" w:eastAsia="Arial" w:hAnsi="Arial" w:cs="Arial"/>
          <w:lang w:val="en-US" w:eastAsia="en-US"/>
        </w:rPr>
        <w:t>;</w:t>
      </w:r>
      <w:proofErr w:type="gramEnd"/>
    </w:p>
    <w:p w14:paraId="713ED386" w14:textId="4724FEA0" w:rsidR="00D82806" w:rsidRPr="002E2EF3" w:rsidRDefault="003B7D0F" w:rsidP="00565359">
      <w:pPr>
        <w:pStyle w:val="ListParagraph"/>
        <w:widowControl w:val="0"/>
        <w:numPr>
          <w:ilvl w:val="0"/>
          <w:numId w:val="18"/>
        </w:numPr>
        <w:tabs>
          <w:tab w:val="left" w:pos="284"/>
        </w:tabs>
        <w:autoSpaceDE w:val="0"/>
        <w:autoSpaceDN w:val="0"/>
        <w:spacing w:before="37" w:after="0" w:line="276" w:lineRule="auto"/>
        <w:ind w:left="709" w:right="571"/>
        <w:jc w:val="both"/>
        <w:rPr>
          <w:rFonts w:ascii="Arial" w:eastAsia="Arial" w:hAnsi="Arial" w:cs="Arial"/>
          <w:lang w:val="en-US" w:eastAsia="en-US"/>
        </w:rPr>
      </w:pPr>
      <w:r w:rsidRPr="002E2EF3">
        <w:rPr>
          <w:rFonts w:ascii="Arial" w:eastAsia="Arial" w:hAnsi="Arial" w:cs="Arial"/>
          <w:lang w:val="en-US" w:eastAsia="en-US"/>
        </w:rPr>
        <w:t>the inclusion of</w:t>
      </w:r>
      <w:r w:rsidR="00D82806" w:rsidRPr="002E2EF3">
        <w:rPr>
          <w:rFonts w:ascii="Arial" w:eastAsia="Arial" w:hAnsi="Arial" w:cs="Arial"/>
          <w:lang w:val="en-US" w:eastAsia="en-US"/>
        </w:rPr>
        <w:t xml:space="preserve"> all student-facing staff whose role directly impacts on student learning e.g. academic, learning support, technical, and administrative staff, including those in part-time</w:t>
      </w:r>
      <w:r w:rsidR="00D82806" w:rsidRPr="002E2EF3">
        <w:rPr>
          <w:rFonts w:ascii="Arial" w:eastAsia="Arial" w:hAnsi="Arial" w:cs="Arial"/>
          <w:spacing w:val="-2"/>
          <w:lang w:val="en-US" w:eastAsia="en-US"/>
        </w:rPr>
        <w:t xml:space="preserve"> </w:t>
      </w:r>
      <w:proofErr w:type="gramStart"/>
      <w:r w:rsidR="00D82806" w:rsidRPr="002E2EF3">
        <w:rPr>
          <w:rFonts w:ascii="Arial" w:eastAsia="Arial" w:hAnsi="Arial" w:cs="Arial"/>
          <w:lang w:val="en-US" w:eastAsia="en-US"/>
        </w:rPr>
        <w:t>roles;</w:t>
      </w:r>
      <w:proofErr w:type="gramEnd"/>
    </w:p>
    <w:p w14:paraId="1245A9E7" w14:textId="1A81C0E8" w:rsidR="00D82806" w:rsidRDefault="00D82806" w:rsidP="00565359">
      <w:pPr>
        <w:pStyle w:val="ListParagraph"/>
        <w:widowControl w:val="0"/>
        <w:numPr>
          <w:ilvl w:val="0"/>
          <w:numId w:val="18"/>
        </w:numPr>
        <w:tabs>
          <w:tab w:val="left" w:pos="284"/>
          <w:tab w:val="left" w:pos="403"/>
          <w:tab w:val="left" w:pos="404"/>
        </w:tabs>
        <w:autoSpaceDE w:val="0"/>
        <w:autoSpaceDN w:val="0"/>
        <w:spacing w:after="0" w:line="276" w:lineRule="auto"/>
        <w:ind w:left="709" w:right="744"/>
        <w:jc w:val="both"/>
        <w:rPr>
          <w:rFonts w:ascii="Arial" w:eastAsia="Arial" w:hAnsi="Arial" w:cs="Arial"/>
          <w:lang w:val="en-US" w:eastAsia="en-US"/>
        </w:rPr>
      </w:pPr>
      <w:r w:rsidRPr="002E2EF3">
        <w:rPr>
          <w:rFonts w:ascii="Arial" w:eastAsia="Arial" w:hAnsi="Arial" w:cs="Arial"/>
          <w:lang w:val="en-US" w:eastAsia="en-US"/>
        </w:rPr>
        <w:t>address</w:t>
      </w:r>
      <w:r w:rsidR="003B7D0F" w:rsidRPr="002E2EF3">
        <w:rPr>
          <w:rFonts w:ascii="Arial" w:eastAsia="Arial" w:hAnsi="Arial" w:cs="Arial"/>
          <w:lang w:val="en-US" w:eastAsia="en-US"/>
        </w:rPr>
        <w:t>ing</w:t>
      </w:r>
      <w:r w:rsidRPr="002E2EF3">
        <w:rPr>
          <w:rFonts w:ascii="Arial" w:eastAsia="Arial" w:hAnsi="Arial" w:cs="Arial"/>
          <w:lang w:val="en-US" w:eastAsia="en-US"/>
        </w:rPr>
        <w:t xml:space="preserve"> the needs of individuals within the evolving contexts of subject and inter- professional groups, the institution, and professional and regulatory</w:t>
      </w:r>
      <w:r w:rsidRPr="002E2EF3">
        <w:rPr>
          <w:rFonts w:ascii="Arial" w:eastAsia="Arial" w:hAnsi="Arial" w:cs="Arial"/>
          <w:spacing w:val="-14"/>
          <w:lang w:val="en-US" w:eastAsia="en-US"/>
        </w:rPr>
        <w:t xml:space="preserve"> </w:t>
      </w:r>
      <w:r w:rsidRPr="002E2EF3">
        <w:rPr>
          <w:rFonts w:ascii="Arial" w:eastAsia="Arial" w:hAnsi="Arial" w:cs="Arial"/>
          <w:lang w:val="en-US" w:eastAsia="en-US"/>
        </w:rPr>
        <w:t>bodies</w:t>
      </w:r>
      <w:r w:rsidR="003B7D0F" w:rsidRPr="002E2EF3">
        <w:rPr>
          <w:rFonts w:ascii="Arial" w:eastAsia="Arial" w:hAnsi="Arial" w:cs="Arial"/>
          <w:lang w:val="en-US" w:eastAsia="en-US"/>
        </w:rPr>
        <w:t>.</w:t>
      </w:r>
    </w:p>
    <w:p w14:paraId="3ADF382E" w14:textId="77777777" w:rsidR="006804F8" w:rsidRPr="002E2EF3" w:rsidRDefault="006804F8" w:rsidP="006804F8">
      <w:pPr>
        <w:pStyle w:val="ListParagraph"/>
        <w:widowControl w:val="0"/>
        <w:tabs>
          <w:tab w:val="left" w:pos="284"/>
          <w:tab w:val="left" w:pos="403"/>
          <w:tab w:val="left" w:pos="404"/>
        </w:tabs>
        <w:autoSpaceDE w:val="0"/>
        <w:autoSpaceDN w:val="0"/>
        <w:spacing w:after="0" w:line="276" w:lineRule="auto"/>
        <w:ind w:left="709" w:right="744"/>
        <w:jc w:val="both"/>
        <w:rPr>
          <w:rFonts w:ascii="Arial" w:eastAsia="Arial" w:hAnsi="Arial" w:cs="Arial"/>
          <w:lang w:val="en-US" w:eastAsia="en-US"/>
        </w:rPr>
      </w:pPr>
    </w:p>
    <w:p w14:paraId="1593BDE4" w14:textId="151DD05A" w:rsidR="00D82806" w:rsidRPr="002E2EF3" w:rsidRDefault="003B7D0F" w:rsidP="003B7D0F">
      <w:pPr>
        <w:widowControl w:val="0"/>
        <w:tabs>
          <w:tab w:val="left" w:pos="284"/>
          <w:tab w:val="left" w:pos="407"/>
        </w:tabs>
        <w:autoSpaceDE w:val="0"/>
        <w:autoSpaceDN w:val="0"/>
        <w:spacing w:before="25" w:after="0" w:line="259" w:lineRule="auto"/>
        <w:ind w:right="605"/>
        <w:jc w:val="both"/>
        <w:rPr>
          <w:rFonts w:ascii="Arial" w:eastAsia="Arial" w:hAnsi="Arial" w:cs="Arial"/>
          <w:lang w:val="en-US" w:eastAsia="en-US"/>
        </w:rPr>
      </w:pPr>
      <w:r w:rsidRPr="002E2EF3">
        <w:rPr>
          <w:rFonts w:ascii="Arial" w:eastAsia="Arial" w:hAnsi="Arial" w:cs="Arial"/>
          <w:lang w:val="en-US" w:eastAsia="en-US"/>
        </w:rPr>
        <w:t xml:space="preserve">It will be </w:t>
      </w:r>
      <w:r w:rsidR="00D82806" w:rsidRPr="002E2EF3">
        <w:rPr>
          <w:rFonts w:ascii="Arial" w:eastAsia="Arial" w:hAnsi="Arial" w:cs="Arial"/>
          <w:lang w:val="en-US" w:eastAsia="en-US"/>
        </w:rPr>
        <w:t>simple and efficient to operate, linking with existing processes to create a coherent professional development and review</w:t>
      </w:r>
      <w:r w:rsidR="00D82806" w:rsidRPr="002E2EF3">
        <w:rPr>
          <w:rFonts w:ascii="Arial" w:eastAsia="Arial" w:hAnsi="Arial" w:cs="Arial"/>
          <w:spacing w:val="-3"/>
          <w:lang w:val="en-US" w:eastAsia="en-US"/>
        </w:rPr>
        <w:t xml:space="preserve"> </w:t>
      </w:r>
      <w:r w:rsidR="00D82806" w:rsidRPr="002E2EF3">
        <w:rPr>
          <w:rFonts w:ascii="Arial" w:eastAsia="Arial" w:hAnsi="Arial" w:cs="Arial"/>
          <w:lang w:val="en-US" w:eastAsia="en-US"/>
        </w:rPr>
        <w:t>cycle.</w:t>
      </w:r>
    </w:p>
    <w:p w14:paraId="7653B03D" w14:textId="77777777" w:rsidR="00D82806" w:rsidRPr="002E2EF3" w:rsidRDefault="00D82806" w:rsidP="00D82806">
      <w:pPr>
        <w:widowControl w:val="0"/>
        <w:tabs>
          <w:tab w:val="left" w:pos="548"/>
        </w:tabs>
        <w:autoSpaceDE w:val="0"/>
        <w:autoSpaceDN w:val="0"/>
        <w:spacing w:before="3" w:after="0" w:line="271" w:lineRule="auto"/>
        <w:ind w:right="116"/>
        <w:rPr>
          <w:rFonts w:ascii="Arial" w:eastAsia="Arial" w:hAnsi="Arial" w:cs="Arial"/>
          <w:lang w:val="en-US" w:eastAsia="en-US"/>
        </w:rPr>
      </w:pPr>
    </w:p>
    <w:p w14:paraId="3A42FB0E" w14:textId="075AE8D7" w:rsidR="00D82806" w:rsidRPr="002E2EF3" w:rsidRDefault="00D82806" w:rsidP="00D82806">
      <w:pPr>
        <w:widowControl w:val="0"/>
        <w:tabs>
          <w:tab w:val="left" w:pos="548"/>
        </w:tabs>
        <w:autoSpaceDE w:val="0"/>
        <w:autoSpaceDN w:val="0"/>
        <w:spacing w:before="3" w:after="0" w:line="271" w:lineRule="auto"/>
        <w:ind w:right="116"/>
        <w:rPr>
          <w:rFonts w:ascii="Arial" w:eastAsia="Arial" w:hAnsi="Arial" w:cs="Arial"/>
          <w:b/>
          <w:lang w:val="en-US" w:eastAsia="en-US"/>
        </w:rPr>
      </w:pPr>
      <w:r w:rsidRPr="002E2EF3">
        <w:rPr>
          <w:rFonts w:ascii="Arial" w:eastAsia="Arial" w:hAnsi="Arial" w:cs="Arial"/>
          <w:b/>
          <w:lang w:val="en-US" w:eastAsia="en-US"/>
        </w:rPr>
        <w:t>Implementation</w:t>
      </w:r>
      <w:r w:rsidR="002E2EF3">
        <w:rPr>
          <w:rFonts w:ascii="Arial" w:eastAsia="Arial" w:hAnsi="Arial" w:cs="Arial"/>
          <w:b/>
          <w:lang w:val="en-US" w:eastAsia="en-US"/>
        </w:rPr>
        <w:t>:</w:t>
      </w:r>
    </w:p>
    <w:p w14:paraId="36A61F27" w14:textId="77777777" w:rsidR="00D82806" w:rsidRPr="002E2EF3" w:rsidRDefault="00D82806" w:rsidP="00D82806">
      <w:pPr>
        <w:widowControl w:val="0"/>
        <w:autoSpaceDE w:val="0"/>
        <w:autoSpaceDN w:val="0"/>
        <w:spacing w:before="1" w:after="0" w:line="276" w:lineRule="auto"/>
        <w:ind w:right="116"/>
        <w:jc w:val="both"/>
        <w:rPr>
          <w:rFonts w:ascii="Arial" w:eastAsia="Arial" w:hAnsi="Arial" w:cs="Arial"/>
          <w:lang w:val="en-US" w:eastAsia="en-US"/>
        </w:rPr>
      </w:pPr>
      <w:r w:rsidRPr="002E2EF3">
        <w:rPr>
          <w:rFonts w:ascii="Arial" w:eastAsia="Arial" w:hAnsi="Arial" w:cs="Arial"/>
          <w:lang w:val="en-US" w:eastAsia="en-US"/>
        </w:rPr>
        <w:lastRenderedPageBreak/>
        <w:t xml:space="preserve">All Departments must track completion of PRE in their staff group by use of the </w:t>
      </w:r>
      <w:hyperlink r:id="rId8" w:history="1">
        <w:r w:rsidRPr="002E2EF3">
          <w:rPr>
            <w:rFonts w:ascii="Arial" w:eastAsia="Arial" w:hAnsi="Arial" w:cs="Arial"/>
            <w:color w:val="0000FF"/>
            <w:u w:val="single"/>
            <w:lang w:val="en-US" w:eastAsia="en-US"/>
          </w:rPr>
          <w:t>template</w:t>
        </w:r>
      </w:hyperlink>
      <w:r w:rsidRPr="002E2EF3">
        <w:rPr>
          <w:rFonts w:ascii="Arial" w:eastAsia="Arial" w:hAnsi="Arial" w:cs="Arial"/>
          <w:lang w:val="en-US" w:eastAsia="en-US"/>
        </w:rPr>
        <w:t xml:space="preserve"> provided. The recording template can be deployed at Department or Subject Group level - additional versions may be set up for different staff groups if preferred. There is no requirement to complete any other documentation although peer observation forms included in the Peer Observation guidance can be used for reference. Subject Group Leaders or equivalent Professional Services managers will be responsible for monitoring PRE completion for their staff groups using the data from the form to monitor engagement and completion and to report summary information annually to Faculty Shaping Futures Committees, which in turn will be reported at the University Shaping Futures Board as part of annual quality review</w:t>
      </w:r>
      <w:r w:rsidRPr="002E2EF3">
        <w:rPr>
          <w:rFonts w:ascii="Arial" w:eastAsia="Arial" w:hAnsi="Arial" w:cs="Arial"/>
          <w:spacing w:val="-4"/>
          <w:lang w:val="en-US" w:eastAsia="en-US"/>
        </w:rPr>
        <w:t xml:space="preserve"> </w:t>
      </w:r>
      <w:r w:rsidRPr="002E2EF3">
        <w:rPr>
          <w:rFonts w:ascii="Arial" w:eastAsia="Arial" w:hAnsi="Arial" w:cs="Arial"/>
          <w:lang w:val="en-US" w:eastAsia="en-US"/>
        </w:rPr>
        <w:t>processes.</w:t>
      </w:r>
    </w:p>
    <w:p w14:paraId="1E05F78F" w14:textId="77777777" w:rsidR="00D82806" w:rsidRPr="002E2EF3" w:rsidRDefault="00D82806" w:rsidP="00D82806">
      <w:pPr>
        <w:widowControl w:val="0"/>
        <w:autoSpaceDE w:val="0"/>
        <w:autoSpaceDN w:val="0"/>
        <w:spacing w:before="94" w:after="0"/>
        <w:outlineLvl w:val="0"/>
        <w:rPr>
          <w:rFonts w:ascii="Arial" w:eastAsia="Arial" w:hAnsi="Arial" w:cs="Arial"/>
          <w:b/>
          <w:bCs/>
          <w:lang w:val="en-US" w:eastAsia="en-US"/>
        </w:rPr>
      </w:pPr>
    </w:p>
    <w:p w14:paraId="4A3C75BA" w14:textId="79359A9D" w:rsidR="00D82806" w:rsidRPr="002E2EF3" w:rsidRDefault="00D82806" w:rsidP="002E2EF3">
      <w:pPr>
        <w:widowControl w:val="0"/>
        <w:autoSpaceDE w:val="0"/>
        <w:autoSpaceDN w:val="0"/>
        <w:spacing w:before="94" w:after="0"/>
        <w:outlineLvl w:val="0"/>
        <w:rPr>
          <w:rFonts w:ascii="Arial" w:eastAsia="Arial" w:hAnsi="Arial" w:cs="Arial"/>
          <w:b/>
          <w:bCs/>
          <w:lang w:val="en-US" w:eastAsia="en-US"/>
        </w:rPr>
      </w:pPr>
      <w:r w:rsidRPr="002E2EF3">
        <w:rPr>
          <w:rFonts w:ascii="Arial" w:eastAsia="Arial" w:hAnsi="Arial" w:cs="Arial"/>
          <w:b/>
          <w:bCs/>
          <w:lang w:val="en-US" w:eastAsia="en-US"/>
        </w:rPr>
        <w:t xml:space="preserve">Governance and </w:t>
      </w:r>
      <w:r w:rsidR="002E2EF3">
        <w:rPr>
          <w:rFonts w:ascii="Arial" w:eastAsia="Arial" w:hAnsi="Arial" w:cs="Arial"/>
          <w:b/>
          <w:bCs/>
          <w:lang w:val="en-US" w:eastAsia="en-US"/>
        </w:rPr>
        <w:t>Monitoring:</w:t>
      </w:r>
    </w:p>
    <w:p w14:paraId="2FBE22AD" w14:textId="6DF5AFB9" w:rsidR="00D82806" w:rsidRPr="002E2EF3" w:rsidRDefault="00D82806" w:rsidP="00500168">
      <w:pPr>
        <w:widowControl w:val="0"/>
        <w:autoSpaceDE w:val="0"/>
        <w:autoSpaceDN w:val="0"/>
        <w:spacing w:after="0" w:line="276" w:lineRule="auto"/>
        <w:ind w:right="118"/>
        <w:jc w:val="both"/>
        <w:rPr>
          <w:rFonts w:ascii="Arial" w:eastAsia="Arial" w:hAnsi="Arial" w:cs="Arial"/>
          <w:lang w:val="en-US" w:eastAsia="en-US"/>
        </w:rPr>
      </w:pPr>
      <w:r w:rsidRPr="002E2EF3">
        <w:rPr>
          <w:rFonts w:ascii="Arial" w:eastAsia="Arial" w:hAnsi="Arial" w:cs="Arial"/>
          <w:lang w:val="en-US" w:eastAsia="en-US"/>
        </w:rPr>
        <w:t>This policy updates the Peer Supported Review Policy approved by Academic Board in June 2014 (AB Minute 14/42 refers) and will be implemented from the start of academic year 2019/20.</w:t>
      </w:r>
      <w:r w:rsidR="00500168" w:rsidRPr="002E2EF3">
        <w:rPr>
          <w:rFonts w:ascii="Arial" w:eastAsia="Arial" w:hAnsi="Arial" w:cs="Arial"/>
          <w:lang w:val="en-US" w:eastAsia="en-US"/>
        </w:rPr>
        <w:t xml:space="preserve">  </w:t>
      </w:r>
      <w:r w:rsidRPr="002E2EF3">
        <w:rPr>
          <w:rFonts w:ascii="Arial" w:eastAsia="Arial" w:hAnsi="Arial" w:cs="Arial"/>
          <w:lang w:val="en-US" w:eastAsia="en-US"/>
        </w:rPr>
        <w:t xml:space="preserve">This policy is </w:t>
      </w:r>
      <w:r w:rsidR="00931068" w:rsidRPr="002E2EF3">
        <w:rPr>
          <w:rFonts w:ascii="Arial" w:eastAsia="Arial" w:hAnsi="Arial" w:cs="Arial"/>
          <w:lang w:val="en-US" w:eastAsia="en-US"/>
        </w:rPr>
        <w:t xml:space="preserve">governed </w:t>
      </w:r>
      <w:r w:rsidR="00500168" w:rsidRPr="002E2EF3">
        <w:rPr>
          <w:rFonts w:ascii="Arial" w:eastAsia="Arial" w:hAnsi="Arial" w:cs="Arial"/>
          <w:lang w:val="en-US" w:eastAsia="en-US"/>
        </w:rPr>
        <w:t xml:space="preserve">and monitored </w:t>
      </w:r>
      <w:r w:rsidRPr="002E2EF3">
        <w:rPr>
          <w:rFonts w:ascii="Arial" w:eastAsia="Arial" w:hAnsi="Arial" w:cs="Arial"/>
          <w:lang w:val="en-US" w:eastAsia="en-US"/>
        </w:rPr>
        <w:t xml:space="preserve">by the University Teaching Quality Committee which reports to the Shaping Futures Board. </w:t>
      </w:r>
    </w:p>
    <w:p w14:paraId="721DDBF4" w14:textId="77777777" w:rsidR="00D82806" w:rsidRPr="002E2EF3" w:rsidRDefault="00D82806" w:rsidP="00D82806">
      <w:pPr>
        <w:widowControl w:val="0"/>
        <w:autoSpaceDE w:val="0"/>
        <w:autoSpaceDN w:val="0"/>
        <w:spacing w:before="8" w:after="0"/>
        <w:rPr>
          <w:rFonts w:ascii="Arial" w:eastAsia="Arial" w:hAnsi="Arial" w:cs="Arial"/>
          <w:lang w:val="en-US" w:eastAsia="en-US"/>
        </w:rPr>
      </w:pPr>
    </w:p>
    <w:tbl>
      <w:tblPr>
        <w:tblStyle w:val="TableGrid10"/>
        <w:tblW w:w="0" w:type="auto"/>
        <w:tblLook w:val="04A0" w:firstRow="1" w:lastRow="0" w:firstColumn="1" w:lastColumn="0" w:noHBand="0" w:noVBand="1"/>
      </w:tblPr>
      <w:tblGrid>
        <w:gridCol w:w="2760"/>
        <w:gridCol w:w="4428"/>
        <w:gridCol w:w="1505"/>
        <w:gridCol w:w="1757"/>
      </w:tblGrid>
      <w:tr w:rsidR="00D82806" w:rsidRPr="002E2EF3" w14:paraId="70AA60CF" w14:textId="77777777" w:rsidTr="006804F8">
        <w:tc>
          <w:tcPr>
            <w:tcW w:w="2815" w:type="dxa"/>
          </w:tcPr>
          <w:p w14:paraId="7E8C0FCE" w14:textId="77777777" w:rsidR="00D82806" w:rsidRPr="002E2EF3" w:rsidRDefault="00D82806" w:rsidP="00D82806">
            <w:pPr>
              <w:rPr>
                <w:rFonts w:ascii="Arial" w:eastAsia="Arial" w:hAnsi="Arial" w:cs="Arial"/>
                <w:b/>
              </w:rPr>
            </w:pPr>
            <w:r w:rsidRPr="002E2EF3">
              <w:rPr>
                <w:rFonts w:ascii="Arial" w:eastAsia="Arial" w:hAnsi="Arial" w:cs="Arial"/>
                <w:b/>
              </w:rPr>
              <w:t>Version:</w:t>
            </w:r>
          </w:p>
        </w:tc>
        <w:tc>
          <w:tcPr>
            <w:tcW w:w="7861" w:type="dxa"/>
            <w:gridSpan w:val="3"/>
          </w:tcPr>
          <w:p w14:paraId="5E474EE4" w14:textId="28F01EF5" w:rsidR="00D82806" w:rsidRPr="002E2EF3" w:rsidRDefault="006804F8" w:rsidP="00D82806">
            <w:pPr>
              <w:rPr>
                <w:rFonts w:ascii="Arial" w:eastAsia="Arial" w:hAnsi="Arial" w:cs="Arial"/>
              </w:rPr>
            </w:pPr>
            <w:r>
              <w:rPr>
                <w:rFonts w:ascii="Arial" w:eastAsia="Arial" w:hAnsi="Arial" w:cs="Arial"/>
              </w:rPr>
              <w:t>v</w:t>
            </w:r>
            <w:r w:rsidR="00931068" w:rsidRPr="002E2EF3">
              <w:rPr>
                <w:rFonts w:ascii="Arial" w:eastAsia="Arial" w:hAnsi="Arial" w:cs="Arial"/>
              </w:rPr>
              <w:t>1.1</w:t>
            </w:r>
          </w:p>
        </w:tc>
      </w:tr>
      <w:tr w:rsidR="00D82806" w:rsidRPr="002E2EF3" w14:paraId="6DB94990" w14:textId="77777777" w:rsidTr="006804F8">
        <w:tc>
          <w:tcPr>
            <w:tcW w:w="2815" w:type="dxa"/>
          </w:tcPr>
          <w:p w14:paraId="5350D930" w14:textId="77777777" w:rsidR="00D82806" w:rsidRPr="002E2EF3" w:rsidRDefault="00D82806" w:rsidP="00D82806">
            <w:pPr>
              <w:rPr>
                <w:rFonts w:ascii="Arial" w:eastAsia="Arial" w:hAnsi="Arial" w:cs="Arial"/>
                <w:b/>
              </w:rPr>
            </w:pPr>
            <w:r w:rsidRPr="002E2EF3">
              <w:rPr>
                <w:rFonts w:ascii="Arial" w:eastAsia="Arial" w:hAnsi="Arial" w:cs="Arial"/>
                <w:b/>
              </w:rPr>
              <w:t>Original Version Approved by and date:</w:t>
            </w:r>
          </w:p>
        </w:tc>
        <w:tc>
          <w:tcPr>
            <w:tcW w:w="7861" w:type="dxa"/>
            <w:gridSpan w:val="3"/>
          </w:tcPr>
          <w:p w14:paraId="5FA8E72B" w14:textId="314D470B" w:rsidR="00D82806" w:rsidRPr="002E2EF3" w:rsidRDefault="00145D2E" w:rsidP="00D82806">
            <w:pPr>
              <w:rPr>
                <w:rFonts w:ascii="Arial" w:eastAsia="Arial" w:hAnsi="Arial" w:cs="Arial"/>
              </w:rPr>
            </w:pPr>
            <w:r w:rsidRPr="002E2EF3">
              <w:rPr>
                <w:rFonts w:ascii="Arial" w:eastAsia="Arial" w:hAnsi="Arial" w:cs="Arial"/>
                <w:lang w:val="en-US"/>
              </w:rPr>
              <w:t>Peer Supported Review Policy approved by Academic Board in June 2014</w:t>
            </w:r>
          </w:p>
        </w:tc>
      </w:tr>
      <w:tr w:rsidR="00D82806" w:rsidRPr="002E2EF3" w14:paraId="61A03F8E" w14:textId="77777777" w:rsidTr="006804F8">
        <w:tc>
          <w:tcPr>
            <w:tcW w:w="2815" w:type="dxa"/>
          </w:tcPr>
          <w:p w14:paraId="78481D8F" w14:textId="77777777" w:rsidR="00D82806" w:rsidRPr="002E2EF3" w:rsidRDefault="00D82806" w:rsidP="00D82806">
            <w:pPr>
              <w:rPr>
                <w:rFonts w:ascii="Arial" w:eastAsia="Arial" w:hAnsi="Arial" w:cs="Arial"/>
                <w:b/>
              </w:rPr>
            </w:pPr>
            <w:r w:rsidRPr="002E2EF3">
              <w:rPr>
                <w:rFonts w:ascii="Arial" w:eastAsia="Arial" w:hAnsi="Arial" w:cs="Arial"/>
                <w:b/>
              </w:rPr>
              <w:t>Policy owner</w:t>
            </w:r>
          </w:p>
        </w:tc>
        <w:tc>
          <w:tcPr>
            <w:tcW w:w="7861" w:type="dxa"/>
            <w:gridSpan w:val="3"/>
          </w:tcPr>
          <w:p w14:paraId="01A2E7B8" w14:textId="2E2E12A2" w:rsidR="00D82806" w:rsidRPr="002E2EF3" w:rsidRDefault="00145D2E" w:rsidP="00D82806">
            <w:pPr>
              <w:rPr>
                <w:rFonts w:ascii="Arial" w:eastAsia="Arial" w:hAnsi="Arial" w:cs="Arial"/>
              </w:rPr>
            </w:pPr>
            <w:r w:rsidRPr="002E2EF3">
              <w:rPr>
                <w:rFonts w:ascii="Arial" w:eastAsia="Arial" w:hAnsi="Arial" w:cs="Arial"/>
                <w:lang w:val="en-US"/>
              </w:rPr>
              <w:t>University Teaching Quality Committee</w:t>
            </w:r>
          </w:p>
        </w:tc>
      </w:tr>
      <w:tr w:rsidR="00D82806" w:rsidRPr="002E2EF3" w14:paraId="57C794F0" w14:textId="77777777" w:rsidTr="006804F8">
        <w:tc>
          <w:tcPr>
            <w:tcW w:w="2815" w:type="dxa"/>
          </w:tcPr>
          <w:p w14:paraId="5BB30FE4" w14:textId="77777777" w:rsidR="00D82806" w:rsidRPr="002E2EF3" w:rsidRDefault="00D82806" w:rsidP="00D82806">
            <w:pPr>
              <w:rPr>
                <w:rFonts w:ascii="Arial" w:eastAsia="Arial" w:hAnsi="Arial" w:cs="Arial"/>
                <w:b/>
              </w:rPr>
            </w:pPr>
            <w:r w:rsidRPr="002E2EF3">
              <w:rPr>
                <w:rFonts w:ascii="Arial" w:eastAsia="Arial" w:hAnsi="Arial" w:cs="Arial"/>
                <w:b/>
              </w:rPr>
              <w:t>Date for Review:</w:t>
            </w:r>
          </w:p>
        </w:tc>
        <w:tc>
          <w:tcPr>
            <w:tcW w:w="7861" w:type="dxa"/>
            <w:gridSpan w:val="3"/>
          </w:tcPr>
          <w:p w14:paraId="7F7572F1" w14:textId="3CA19D62" w:rsidR="00D82806" w:rsidRPr="002E2EF3" w:rsidRDefault="00931068" w:rsidP="00D82806">
            <w:pPr>
              <w:rPr>
                <w:rFonts w:ascii="Arial" w:eastAsia="Arial" w:hAnsi="Arial" w:cs="Arial"/>
              </w:rPr>
            </w:pPr>
            <w:r w:rsidRPr="002E2EF3">
              <w:rPr>
                <w:rFonts w:ascii="Arial" w:eastAsia="Arial" w:hAnsi="Arial" w:cs="Arial"/>
              </w:rPr>
              <w:t>April 2020</w:t>
            </w:r>
          </w:p>
        </w:tc>
      </w:tr>
      <w:tr w:rsidR="00D82806" w:rsidRPr="002E2EF3" w14:paraId="3BE61574" w14:textId="77777777" w:rsidTr="006804F8">
        <w:trPr>
          <w:trHeight w:val="69"/>
        </w:trPr>
        <w:tc>
          <w:tcPr>
            <w:tcW w:w="2815" w:type="dxa"/>
            <w:vMerge w:val="restart"/>
          </w:tcPr>
          <w:p w14:paraId="1EA9B21A" w14:textId="77777777" w:rsidR="00D82806" w:rsidRPr="002E2EF3" w:rsidRDefault="00D82806" w:rsidP="00D82806">
            <w:pPr>
              <w:rPr>
                <w:rFonts w:ascii="Arial" w:eastAsia="Arial" w:hAnsi="Arial" w:cs="Arial"/>
                <w:b/>
              </w:rPr>
            </w:pPr>
            <w:r w:rsidRPr="002E2EF3">
              <w:rPr>
                <w:rFonts w:ascii="Arial" w:eastAsia="Arial" w:hAnsi="Arial" w:cs="Arial"/>
                <w:b/>
              </w:rPr>
              <w:t>Amendments since Approval:</w:t>
            </w:r>
          </w:p>
        </w:tc>
        <w:tc>
          <w:tcPr>
            <w:tcW w:w="4566" w:type="dxa"/>
          </w:tcPr>
          <w:p w14:paraId="6F224D09" w14:textId="77777777" w:rsidR="00D82806" w:rsidRPr="002E2EF3" w:rsidRDefault="00D82806" w:rsidP="00D82806">
            <w:pPr>
              <w:rPr>
                <w:rFonts w:ascii="Arial" w:eastAsia="Arial" w:hAnsi="Arial" w:cs="Arial"/>
                <w:b/>
              </w:rPr>
            </w:pPr>
            <w:r w:rsidRPr="002E2EF3">
              <w:rPr>
                <w:rFonts w:ascii="Arial" w:eastAsia="Arial" w:hAnsi="Arial" w:cs="Arial"/>
                <w:b/>
              </w:rPr>
              <w:t>Detail of Revision:</w:t>
            </w:r>
          </w:p>
        </w:tc>
        <w:tc>
          <w:tcPr>
            <w:tcW w:w="1516" w:type="dxa"/>
          </w:tcPr>
          <w:p w14:paraId="11F237F3" w14:textId="77777777" w:rsidR="00D82806" w:rsidRPr="002E2EF3" w:rsidRDefault="00D82806" w:rsidP="00D82806">
            <w:pPr>
              <w:rPr>
                <w:rFonts w:ascii="Arial" w:eastAsia="Arial" w:hAnsi="Arial" w:cs="Arial"/>
                <w:b/>
              </w:rPr>
            </w:pPr>
            <w:r w:rsidRPr="002E2EF3">
              <w:rPr>
                <w:rFonts w:ascii="Arial" w:eastAsia="Arial" w:hAnsi="Arial" w:cs="Arial"/>
                <w:b/>
              </w:rPr>
              <w:t>Date of Revision:</w:t>
            </w:r>
          </w:p>
        </w:tc>
        <w:tc>
          <w:tcPr>
            <w:tcW w:w="1779" w:type="dxa"/>
          </w:tcPr>
          <w:p w14:paraId="14592B7D" w14:textId="77777777" w:rsidR="00D82806" w:rsidRPr="002E2EF3" w:rsidRDefault="00D82806" w:rsidP="00D82806">
            <w:pPr>
              <w:rPr>
                <w:rFonts w:ascii="Arial" w:eastAsia="Arial" w:hAnsi="Arial" w:cs="Arial"/>
                <w:b/>
              </w:rPr>
            </w:pPr>
            <w:r w:rsidRPr="002E2EF3">
              <w:rPr>
                <w:rFonts w:ascii="Arial" w:eastAsia="Arial" w:hAnsi="Arial" w:cs="Arial"/>
                <w:b/>
              </w:rPr>
              <w:t>Revision Approved by:</w:t>
            </w:r>
          </w:p>
        </w:tc>
      </w:tr>
      <w:tr w:rsidR="00D82806" w:rsidRPr="002E2EF3" w14:paraId="672C00B5" w14:textId="77777777" w:rsidTr="006804F8">
        <w:trPr>
          <w:trHeight w:val="69"/>
        </w:trPr>
        <w:tc>
          <w:tcPr>
            <w:tcW w:w="2815" w:type="dxa"/>
            <w:vMerge/>
          </w:tcPr>
          <w:p w14:paraId="04D1E214" w14:textId="77777777" w:rsidR="00D82806" w:rsidRPr="002E2EF3" w:rsidRDefault="00D82806" w:rsidP="00D82806">
            <w:pPr>
              <w:rPr>
                <w:rFonts w:ascii="Arial" w:eastAsia="Arial" w:hAnsi="Arial" w:cs="Arial"/>
              </w:rPr>
            </w:pPr>
          </w:p>
        </w:tc>
        <w:tc>
          <w:tcPr>
            <w:tcW w:w="4566" w:type="dxa"/>
          </w:tcPr>
          <w:p w14:paraId="6AB6A85D" w14:textId="59C66D18" w:rsidR="00D82806" w:rsidRPr="002E2EF3" w:rsidRDefault="00565359" w:rsidP="00D82806">
            <w:pPr>
              <w:rPr>
                <w:rFonts w:ascii="Arial" w:hAnsi="Arial" w:cs="Arial"/>
              </w:rPr>
            </w:pPr>
            <w:r w:rsidRPr="002E2EF3">
              <w:rPr>
                <w:rFonts w:ascii="Arial" w:eastAsia="Arial" w:hAnsi="Arial" w:cs="Arial"/>
              </w:rPr>
              <w:t xml:space="preserve">Points 4 &amp; 5 </w:t>
            </w:r>
            <w:r w:rsidR="002E2EF3" w:rsidRPr="002E2EF3">
              <w:rPr>
                <w:rFonts w:ascii="Arial" w:hAnsi="Arial" w:cs="Arial"/>
              </w:rPr>
              <w:t>updated to reflect the Student Experience and Teaching Q</w:t>
            </w:r>
            <w:r w:rsidRPr="002E2EF3">
              <w:rPr>
                <w:rFonts w:ascii="Arial" w:hAnsi="Arial" w:cs="Arial"/>
              </w:rPr>
              <w:t>uality project priority activity</w:t>
            </w:r>
          </w:p>
          <w:p w14:paraId="2C540E1B" w14:textId="77777777" w:rsidR="00565359" w:rsidRPr="002E2EF3" w:rsidRDefault="00565359" w:rsidP="00D82806">
            <w:pPr>
              <w:rPr>
                <w:rFonts w:ascii="Arial" w:hAnsi="Arial" w:cs="Arial"/>
              </w:rPr>
            </w:pPr>
            <w:r w:rsidRPr="002E2EF3">
              <w:rPr>
                <w:rFonts w:ascii="Arial" w:hAnsi="Arial" w:cs="Arial"/>
              </w:rPr>
              <w:t xml:space="preserve">Aims and </w:t>
            </w:r>
            <w:r w:rsidR="002E2EF3" w:rsidRPr="002E2EF3">
              <w:rPr>
                <w:rFonts w:ascii="Arial" w:hAnsi="Arial" w:cs="Arial"/>
              </w:rPr>
              <w:t>principles</w:t>
            </w:r>
            <w:r w:rsidRPr="002E2EF3">
              <w:rPr>
                <w:rFonts w:ascii="Arial" w:hAnsi="Arial" w:cs="Arial"/>
              </w:rPr>
              <w:t xml:space="preserve"> </w:t>
            </w:r>
            <w:r w:rsidR="002E2EF3" w:rsidRPr="002E2EF3">
              <w:rPr>
                <w:rFonts w:ascii="Arial" w:hAnsi="Arial" w:cs="Arial"/>
              </w:rPr>
              <w:t>incorporated</w:t>
            </w:r>
            <w:r w:rsidRPr="002E2EF3">
              <w:rPr>
                <w:rFonts w:ascii="Arial" w:hAnsi="Arial" w:cs="Arial"/>
              </w:rPr>
              <w:t xml:space="preserve"> into </w:t>
            </w:r>
            <w:r w:rsidR="002E2EF3" w:rsidRPr="002E2EF3">
              <w:rPr>
                <w:rFonts w:ascii="Arial" w:hAnsi="Arial" w:cs="Arial"/>
              </w:rPr>
              <w:t>Rationale</w:t>
            </w:r>
          </w:p>
          <w:p w14:paraId="02DAD211" w14:textId="12FB3886" w:rsidR="002E2EF3" w:rsidRPr="002E2EF3" w:rsidRDefault="002E2EF3" w:rsidP="002E2EF3">
            <w:pPr>
              <w:rPr>
                <w:rFonts w:ascii="Arial" w:eastAsia="Arial" w:hAnsi="Arial" w:cs="Arial"/>
              </w:rPr>
            </w:pPr>
            <w:r w:rsidRPr="002E2EF3">
              <w:rPr>
                <w:rFonts w:ascii="Arial" w:hAnsi="Arial" w:cs="Arial"/>
              </w:rPr>
              <w:t>Implementation section revised to provide a consistent university approach to PRE</w:t>
            </w:r>
          </w:p>
        </w:tc>
        <w:tc>
          <w:tcPr>
            <w:tcW w:w="1516" w:type="dxa"/>
          </w:tcPr>
          <w:p w14:paraId="432DDBC1" w14:textId="77777777" w:rsidR="00D82806" w:rsidRDefault="002E2EF3" w:rsidP="00D82806">
            <w:pPr>
              <w:rPr>
                <w:rFonts w:ascii="Arial" w:eastAsia="Arial" w:hAnsi="Arial" w:cs="Arial"/>
              </w:rPr>
            </w:pPr>
            <w:r w:rsidRPr="002E2EF3">
              <w:rPr>
                <w:rFonts w:ascii="Arial" w:eastAsia="Arial" w:hAnsi="Arial" w:cs="Arial"/>
              </w:rPr>
              <w:t>June 2019</w:t>
            </w:r>
          </w:p>
          <w:p w14:paraId="1FB97D84" w14:textId="51546596" w:rsidR="006804F8" w:rsidRPr="002E2EF3" w:rsidRDefault="006804F8" w:rsidP="00D82806">
            <w:pPr>
              <w:rPr>
                <w:rFonts w:ascii="Arial" w:eastAsia="Arial" w:hAnsi="Arial" w:cs="Arial"/>
              </w:rPr>
            </w:pPr>
            <w:r>
              <w:rPr>
                <w:rFonts w:ascii="Arial" w:eastAsia="Arial" w:hAnsi="Arial" w:cs="Arial"/>
              </w:rPr>
              <w:t>v1.1</w:t>
            </w:r>
          </w:p>
        </w:tc>
        <w:tc>
          <w:tcPr>
            <w:tcW w:w="1779" w:type="dxa"/>
          </w:tcPr>
          <w:p w14:paraId="2A10F24B" w14:textId="3BD28E09" w:rsidR="00D82806" w:rsidRPr="002E2EF3" w:rsidRDefault="002E2EF3" w:rsidP="00D82806">
            <w:pPr>
              <w:rPr>
                <w:rFonts w:ascii="Arial" w:eastAsia="Arial" w:hAnsi="Arial" w:cs="Arial"/>
              </w:rPr>
            </w:pPr>
            <w:r w:rsidRPr="002E2EF3">
              <w:rPr>
                <w:rFonts w:ascii="Arial" w:hAnsi="Arial" w:cs="Arial"/>
              </w:rPr>
              <w:t>Shaping Futures Board</w:t>
            </w:r>
          </w:p>
        </w:tc>
      </w:tr>
      <w:tr w:rsidR="00D82806" w:rsidRPr="002E2EF3" w14:paraId="1AD9CFD8" w14:textId="77777777" w:rsidTr="006804F8">
        <w:trPr>
          <w:trHeight w:val="69"/>
        </w:trPr>
        <w:tc>
          <w:tcPr>
            <w:tcW w:w="2815" w:type="dxa"/>
            <w:vMerge/>
          </w:tcPr>
          <w:p w14:paraId="1E241B50" w14:textId="77777777" w:rsidR="00D82806" w:rsidRPr="002E2EF3" w:rsidRDefault="00D82806" w:rsidP="00D82806">
            <w:pPr>
              <w:rPr>
                <w:rFonts w:ascii="Arial" w:eastAsia="Arial" w:hAnsi="Arial" w:cs="Arial"/>
              </w:rPr>
            </w:pPr>
          </w:p>
        </w:tc>
        <w:tc>
          <w:tcPr>
            <w:tcW w:w="4566" w:type="dxa"/>
          </w:tcPr>
          <w:p w14:paraId="6A3893B1" w14:textId="77777777" w:rsidR="00D82806" w:rsidRPr="002E2EF3" w:rsidRDefault="00D82806" w:rsidP="00D82806">
            <w:pPr>
              <w:rPr>
                <w:rFonts w:ascii="Arial" w:eastAsia="Arial" w:hAnsi="Arial" w:cs="Arial"/>
              </w:rPr>
            </w:pPr>
          </w:p>
        </w:tc>
        <w:tc>
          <w:tcPr>
            <w:tcW w:w="1516" w:type="dxa"/>
          </w:tcPr>
          <w:p w14:paraId="1786E005" w14:textId="77777777" w:rsidR="00D82806" w:rsidRPr="002E2EF3" w:rsidRDefault="00D82806" w:rsidP="00D82806">
            <w:pPr>
              <w:rPr>
                <w:rFonts w:ascii="Arial" w:eastAsia="Arial" w:hAnsi="Arial" w:cs="Arial"/>
              </w:rPr>
            </w:pPr>
          </w:p>
        </w:tc>
        <w:tc>
          <w:tcPr>
            <w:tcW w:w="1779" w:type="dxa"/>
          </w:tcPr>
          <w:p w14:paraId="2C4CD6D1" w14:textId="77777777" w:rsidR="00D82806" w:rsidRPr="002E2EF3" w:rsidRDefault="00D82806" w:rsidP="00D82806">
            <w:pPr>
              <w:rPr>
                <w:rFonts w:ascii="Arial" w:eastAsia="Arial" w:hAnsi="Arial" w:cs="Arial"/>
              </w:rPr>
            </w:pPr>
          </w:p>
        </w:tc>
      </w:tr>
      <w:tr w:rsidR="00D82806" w:rsidRPr="002E2EF3" w14:paraId="0DCCA194" w14:textId="77777777" w:rsidTr="006804F8">
        <w:trPr>
          <w:trHeight w:val="69"/>
        </w:trPr>
        <w:tc>
          <w:tcPr>
            <w:tcW w:w="2815" w:type="dxa"/>
            <w:vMerge/>
          </w:tcPr>
          <w:p w14:paraId="3107429F" w14:textId="77777777" w:rsidR="00D82806" w:rsidRPr="002E2EF3" w:rsidRDefault="00D82806" w:rsidP="00D82806">
            <w:pPr>
              <w:rPr>
                <w:rFonts w:ascii="Arial" w:eastAsia="Arial" w:hAnsi="Arial" w:cs="Arial"/>
              </w:rPr>
            </w:pPr>
          </w:p>
        </w:tc>
        <w:tc>
          <w:tcPr>
            <w:tcW w:w="4566" w:type="dxa"/>
          </w:tcPr>
          <w:p w14:paraId="7E93AD97" w14:textId="77777777" w:rsidR="00D82806" w:rsidRPr="002E2EF3" w:rsidRDefault="00D82806" w:rsidP="00D82806">
            <w:pPr>
              <w:rPr>
                <w:rFonts w:ascii="Arial" w:eastAsia="Arial" w:hAnsi="Arial" w:cs="Arial"/>
              </w:rPr>
            </w:pPr>
          </w:p>
        </w:tc>
        <w:tc>
          <w:tcPr>
            <w:tcW w:w="1516" w:type="dxa"/>
          </w:tcPr>
          <w:p w14:paraId="02778646" w14:textId="77777777" w:rsidR="00D82806" w:rsidRPr="002E2EF3" w:rsidRDefault="00D82806" w:rsidP="00D82806">
            <w:pPr>
              <w:rPr>
                <w:rFonts w:ascii="Arial" w:eastAsia="Arial" w:hAnsi="Arial" w:cs="Arial"/>
              </w:rPr>
            </w:pPr>
          </w:p>
        </w:tc>
        <w:tc>
          <w:tcPr>
            <w:tcW w:w="1779" w:type="dxa"/>
          </w:tcPr>
          <w:p w14:paraId="3E66EE31" w14:textId="77777777" w:rsidR="00D82806" w:rsidRPr="002E2EF3" w:rsidRDefault="00D82806" w:rsidP="00D82806">
            <w:pPr>
              <w:rPr>
                <w:rFonts w:ascii="Arial" w:eastAsia="Arial" w:hAnsi="Arial" w:cs="Arial"/>
              </w:rPr>
            </w:pPr>
          </w:p>
        </w:tc>
      </w:tr>
      <w:tr w:rsidR="00D82806" w:rsidRPr="002E2EF3" w14:paraId="7D351C94" w14:textId="77777777" w:rsidTr="006804F8">
        <w:trPr>
          <w:trHeight w:val="69"/>
        </w:trPr>
        <w:tc>
          <w:tcPr>
            <w:tcW w:w="2815" w:type="dxa"/>
            <w:vMerge/>
          </w:tcPr>
          <w:p w14:paraId="7E5F51BA" w14:textId="77777777" w:rsidR="00D82806" w:rsidRPr="002E2EF3" w:rsidRDefault="00D82806" w:rsidP="00D82806">
            <w:pPr>
              <w:rPr>
                <w:rFonts w:ascii="Arial" w:eastAsia="Arial" w:hAnsi="Arial" w:cs="Arial"/>
              </w:rPr>
            </w:pPr>
          </w:p>
        </w:tc>
        <w:tc>
          <w:tcPr>
            <w:tcW w:w="4566" w:type="dxa"/>
          </w:tcPr>
          <w:p w14:paraId="29CF37CB" w14:textId="77777777" w:rsidR="00D82806" w:rsidRPr="002E2EF3" w:rsidRDefault="00D82806" w:rsidP="00D82806">
            <w:pPr>
              <w:rPr>
                <w:rFonts w:ascii="Arial" w:eastAsia="Arial" w:hAnsi="Arial" w:cs="Arial"/>
              </w:rPr>
            </w:pPr>
          </w:p>
        </w:tc>
        <w:tc>
          <w:tcPr>
            <w:tcW w:w="1516" w:type="dxa"/>
          </w:tcPr>
          <w:p w14:paraId="0D9C3DE4" w14:textId="77777777" w:rsidR="00D82806" w:rsidRPr="002E2EF3" w:rsidRDefault="00D82806" w:rsidP="00D82806">
            <w:pPr>
              <w:rPr>
                <w:rFonts w:ascii="Arial" w:eastAsia="Arial" w:hAnsi="Arial" w:cs="Arial"/>
              </w:rPr>
            </w:pPr>
          </w:p>
        </w:tc>
        <w:tc>
          <w:tcPr>
            <w:tcW w:w="1779" w:type="dxa"/>
          </w:tcPr>
          <w:p w14:paraId="3DFF10D2" w14:textId="77777777" w:rsidR="00D82806" w:rsidRPr="002E2EF3" w:rsidRDefault="00D82806" w:rsidP="00D82806">
            <w:pPr>
              <w:rPr>
                <w:rFonts w:ascii="Arial" w:eastAsia="Arial" w:hAnsi="Arial" w:cs="Arial"/>
              </w:rPr>
            </w:pPr>
          </w:p>
        </w:tc>
      </w:tr>
    </w:tbl>
    <w:p w14:paraId="1A0319E1" w14:textId="6B0383F2" w:rsidR="00D82806" w:rsidRPr="002E2EF3" w:rsidRDefault="00950EA5" w:rsidP="00D82806">
      <w:pPr>
        <w:widowControl w:val="0"/>
        <w:autoSpaceDE w:val="0"/>
        <w:autoSpaceDN w:val="0"/>
        <w:spacing w:before="2" w:after="0"/>
        <w:rPr>
          <w:rFonts w:ascii="Arial" w:eastAsia="Arial" w:hAnsi="Arial" w:cs="Arial"/>
          <w:b/>
          <w:sz w:val="25"/>
          <w:szCs w:val="22"/>
          <w:lang w:val="en-US" w:eastAsia="en-US"/>
        </w:rPr>
      </w:pPr>
      <w:r>
        <w:rPr>
          <w:rFonts w:ascii="Arial" w:hAnsi="Arial" w:cs="Arial"/>
          <w:noProof/>
        </w:rPr>
        <mc:AlternateContent>
          <mc:Choice Requires="wps">
            <w:drawing>
              <wp:anchor distT="4294967295" distB="4294967295" distL="0" distR="0" simplePos="0" relativeHeight="251659264" behindDoc="0" locked="0" layoutInCell="1" allowOverlap="1" wp14:anchorId="0C9B9575" wp14:editId="1010AE83">
                <wp:simplePos x="0" y="0"/>
                <wp:positionH relativeFrom="page">
                  <wp:posOffset>914400</wp:posOffset>
                </wp:positionH>
                <wp:positionV relativeFrom="paragraph">
                  <wp:posOffset>212724</wp:posOffset>
                </wp:positionV>
                <wp:extent cx="1828800"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292C1" id="Line 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6.75pt" to="3in,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" strokeweight=".6pt">
                <w10:wrap type="topAndBottom" anchorx="page"/>
              </v:line>
            </w:pict>
          </mc:Fallback>
        </mc:AlternateContent>
      </w:r>
    </w:p>
    <w:p w14:paraId="04047F52" w14:textId="1DC545E4" w:rsidR="00D82806" w:rsidRPr="002E2EF3" w:rsidRDefault="00D82806" w:rsidP="00D82806">
      <w:pPr>
        <w:widowControl w:val="0"/>
        <w:autoSpaceDE w:val="0"/>
        <w:autoSpaceDN w:val="0"/>
        <w:spacing w:before="45" w:after="0"/>
        <w:rPr>
          <w:rFonts w:ascii="Arial" w:eastAsia="Arial" w:hAnsi="Arial" w:cs="Arial"/>
          <w:sz w:val="18"/>
          <w:szCs w:val="22"/>
          <w:lang w:val="en-US" w:eastAsia="en-US"/>
        </w:rPr>
      </w:pPr>
      <w:bookmarkStart w:id="1" w:name="_bookmark0"/>
      <w:bookmarkEnd w:id="1"/>
      <w:r w:rsidRPr="002E2EF3">
        <w:rPr>
          <w:rFonts w:ascii="Arial" w:eastAsia="Arial" w:hAnsi="Arial" w:cs="Arial"/>
          <w:position w:val="10"/>
          <w:sz w:val="14"/>
          <w:szCs w:val="22"/>
          <w:lang w:val="en-US" w:eastAsia="en-US"/>
        </w:rPr>
        <w:t xml:space="preserve">1 </w:t>
      </w:r>
      <w:r w:rsidRPr="002E2EF3">
        <w:rPr>
          <w:rFonts w:ascii="Arial" w:eastAsia="Arial" w:hAnsi="Arial" w:cs="Arial"/>
          <w:sz w:val="18"/>
          <w:szCs w:val="22"/>
          <w:lang w:val="en-US" w:eastAsia="en-US"/>
        </w:rPr>
        <w:t xml:space="preserve">Professional services and technical staff engaged in student-facing support for learning and teaching. </w:t>
      </w:r>
    </w:p>
    <w:p w14:paraId="3B951134" w14:textId="77777777" w:rsidR="00D82806" w:rsidRPr="002E2EF3" w:rsidRDefault="00D82806" w:rsidP="00D82806">
      <w:pPr>
        <w:widowControl w:val="0"/>
        <w:autoSpaceDE w:val="0"/>
        <w:autoSpaceDN w:val="0"/>
        <w:spacing w:before="218" w:after="0" w:line="278" w:lineRule="auto"/>
        <w:ind w:right="125"/>
        <w:rPr>
          <w:rFonts w:ascii="Arial" w:eastAsia="Arial" w:hAnsi="Arial" w:cs="Arial"/>
          <w:sz w:val="18"/>
          <w:szCs w:val="22"/>
          <w:lang w:val="en-US" w:eastAsia="en-US"/>
        </w:rPr>
      </w:pPr>
      <w:bookmarkStart w:id="2" w:name="_bookmark1"/>
      <w:bookmarkEnd w:id="2"/>
      <w:r w:rsidRPr="002E2EF3">
        <w:rPr>
          <w:rFonts w:ascii="Arial" w:eastAsia="Arial" w:hAnsi="Arial" w:cs="Arial"/>
          <w:position w:val="8"/>
          <w:sz w:val="12"/>
          <w:szCs w:val="22"/>
          <w:lang w:val="en-US" w:eastAsia="en-US"/>
        </w:rPr>
        <w:t xml:space="preserve">2 </w:t>
      </w:r>
      <w:r w:rsidRPr="002E2EF3">
        <w:rPr>
          <w:rFonts w:ascii="Arial" w:eastAsia="Arial" w:hAnsi="Arial" w:cs="Arial"/>
          <w:sz w:val="18"/>
          <w:szCs w:val="22"/>
          <w:lang w:val="en-US" w:eastAsia="en-US"/>
        </w:rPr>
        <w:t xml:space="preserve">The scope of teaching and learning support, and the scope of academic practice in this policy therefore, is defined by the five Areas of Activity set out in the UK Professional Standards Framework: (AoA1) The design and planning of learning activities and/or </w:t>
      </w:r>
      <w:proofErr w:type="spellStart"/>
      <w:r w:rsidRPr="002E2EF3">
        <w:rPr>
          <w:rFonts w:ascii="Arial" w:eastAsia="Arial" w:hAnsi="Arial" w:cs="Arial"/>
          <w:sz w:val="18"/>
          <w:szCs w:val="22"/>
          <w:lang w:val="en-US" w:eastAsia="en-US"/>
        </w:rPr>
        <w:t>programmes</w:t>
      </w:r>
      <w:proofErr w:type="spellEnd"/>
      <w:r w:rsidRPr="002E2EF3">
        <w:rPr>
          <w:rFonts w:ascii="Arial" w:eastAsia="Arial" w:hAnsi="Arial" w:cs="Arial"/>
          <w:sz w:val="18"/>
          <w:szCs w:val="22"/>
          <w:lang w:val="en-US" w:eastAsia="en-US"/>
        </w:rPr>
        <w:t xml:space="preserve"> of study; (AoA2) Teaching and/or supporting learning; (AoA3) Assessing and giving feedback to learners; (AoA4) Developing effective learning environments and approaches to student support and learning; (AoA5) Engagement in CPD relating to the scholarship of teaching and learning.</w:t>
      </w:r>
    </w:p>
    <w:p w14:paraId="60C1DC5E" w14:textId="50BF184B" w:rsidR="00D82806" w:rsidRPr="002E2EF3" w:rsidRDefault="00D82806" w:rsidP="00D82806">
      <w:pPr>
        <w:widowControl w:val="0"/>
        <w:autoSpaceDE w:val="0"/>
        <w:autoSpaceDN w:val="0"/>
        <w:spacing w:before="167" w:after="0" w:line="276" w:lineRule="auto"/>
        <w:ind w:right="125"/>
        <w:rPr>
          <w:rFonts w:ascii="Arial" w:eastAsia="Arial" w:hAnsi="Arial" w:cs="Arial"/>
          <w:sz w:val="18"/>
          <w:szCs w:val="22"/>
          <w:lang w:val="en-US" w:eastAsia="en-US"/>
        </w:rPr>
      </w:pPr>
      <w:bookmarkStart w:id="3" w:name="_bookmark2"/>
      <w:bookmarkStart w:id="4" w:name="_bookmark3"/>
      <w:bookmarkEnd w:id="3"/>
      <w:bookmarkEnd w:id="4"/>
      <w:r w:rsidRPr="002E2EF3">
        <w:rPr>
          <w:rFonts w:ascii="Arial" w:eastAsia="Arial" w:hAnsi="Arial" w:cs="Arial"/>
          <w:position w:val="9"/>
          <w:sz w:val="12"/>
          <w:szCs w:val="22"/>
          <w:lang w:val="en-US" w:eastAsia="en-US"/>
        </w:rPr>
        <w:t xml:space="preserve">3 </w:t>
      </w:r>
      <w:r w:rsidRPr="002E2EF3">
        <w:rPr>
          <w:rFonts w:ascii="Arial" w:eastAsia="Arial" w:hAnsi="Arial" w:cs="Arial"/>
          <w:sz w:val="18"/>
          <w:szCs w:val="22"/>
          <w:lang w:val="en-US" w:eastAsia="en-US"/>
        </w:rPr>
        <w:t>Guidance on effective peer observation can be found in the Peer Observation of Teaching guidance -note that while different forms of PRE activity are referred to, where staff are engaged in teaching then PRE must involve observation of teaching.</w:t>
      </w:r>
      <w:bookmarkEnd w:id="0"/>
    </w:p>
    <w:p w14:paraId="5144FDB7" w14:textId="77777777" w:rsidR="00D82806" w:rsidRPr="002E2EF3" w:rsidRDefault="00D82806" w:rsidP="00D81A56">
      <w:pPr>
        <w:rPr>
          <w:rFonts w:ascii="Arial" w:hAnsi="Arial" w:cs="Arial"/>
        </w:rPr>
      </w:pPr>
    </w:p>
    <w:sectPr w:rsidR="00D82806" w:rsidRPr="002E2EF3" w:rsidSect="00D81A56">
      <w:headerReference w:type="first" r:id="rId9"/>
      <w:pgSz w:w="11900" w:h="16840" w:code="9"/>
      <w:pgMar w:top="720" w:right="720" w:bottom="720" w:left="720"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3FB9" w14:textId="77777777" w:rsidR="006D1B5A" w:rsidRDefault="006D1B5A" w:rsidP="00732810">
      <w:pPr>
        <w:spacing w:after="0"/>
      </w:pPr>
      <w:r>
        <w:separator/>
      </w:r>
    </w:p>
  </w:endnote>
  <w:endnote w:type="continuationSeparator" w:id="0">
    <w:p w14:paraId="38D102F2" w14:textId="77777777" w:rsidR="006D1B5A" w:rsidRDefault="006D1B5A" w:rsidP="007328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S Clerkenwell">
    <w:panose1 w:val="02000503020000020004"/>
    <w:charset w:val="00"/>
    <w:family w:val="modern"/>
    <w:notTrueType/>
    <w:pitch w:val="variable"/>
    <w:sig w:usb0="800000AF" w:usb1="5000004A" w:usb2="00000000" w:usb3="00000000" w:csb0="0000009B" w:csb1="00000000"/>
  </w:font>
  <w:font w:name="FS Clerkenwell Light">
    <w:panose1 w:val="02000306080000020004"/>
    <w:charset w:val="00"/>
    <w:family w:val="modern"/>
    <w:notTrueType/>
    <w:pitch w:val="variable"/>
    <w:sig w:usb0="800000AF" w:usb1="5000204A" w:usb2="00000000" w:usb3="00000000" w:csb0="0000009B"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0A9C" w14:textId="77777777" w:rsidR="006D1B5A" w:rsidRDefault="006D1B5A" w:rsidP="00732810">
      <w:pPr>
        <w:spacing w:after="0"/>
      </w:pPr>
      <w:r>
        <w:separator/>
      </w:r>
    </w:p>
  </w:footnote>
  <w:footnote w:type="continuationSeparator" w:id="0">
    <w:p w14:paraId="07C2794D" w14:textId="77777777" w:rsidR="006D1B5A" w:rsidRDefault="006D1B5A" w:rsidP="007328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6D94" w14:textId="77777777" w:rsidR="008464A2" w:rsidRDefault="008464A2">
    <w:pPr>
      <w:pStyle w:val="Header"/>
    </w:pPr>
    <w:r>
      <w:rPr>
        <w:noProof/>
        <w:lang w:eastAsia="en-GB"/>
      </w:rPr>
      <w:drawing>
        <wp:anchor distT="0" distB="0" distL="114300" distR="114300" simplePos="0" relativeHeight="251659264" behindDoc="0" locked="0" layoutInCell="1" allowOverlap="1" wp14:anchorId="5BAB32F1" wp14:editId="51CE3924">
          <wp:simplePos x="0" y="0"/>
          <wp:positionH relativeFrom="column">
            <wp:posOffset>-23812</wp:posOffset>
          </wp:positionH>
          <wp:positionV relativeFrom="paragraph">
            <wp:posOffset>-55245</wp:posOffset>
          </wp:positionV>
          <wp:extent cx="1547812" cy="82391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_Master_215C_229C_SPOT.eps"/>
                  <pic:cNvPicPr/>
                </pic:nvPicPr>
                <pic:blipFill>
                  <a:blip r:embed="rId1">
                    <a:extLst>
                      <a:ext uri="{28A0092B-C50C-407E-A947-70E740481C1C}">
                        <a14:useLocalDpi xmlns:a14="http://schemas.microsoft.com/office/drawing/2010/main" val="0"/>
                      </a:ext>
                    </a:extLst>
                  </a:blip>
                  <a:stretch>
                    <a:fillRect/>
                  </a:stretch>
                </pic:blipFill>
                <pic:spPr>
                  <a:xfrm>
                    <a:off x="0" y="0"/>
                    <a:ext cx="1547812" cy="823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4E58"/>
    <w:multiLevelType w:val="multilevel"/>
    <w:tmpl w:val="76B45540"/>
    <w:lvl w:ilvl="0">
      <w:start w:val="1"/>
      <w:numFmt w:val="bullet"/>
      <w:lvlText w:val=""/>
      <w:lvlJc w:val="left"/>
      <w:pPr>
        <w:ind w:left="502" w:hanging="360"/>
      </w:pPr>
      <w:rPr>
        <w:rFonts w:ascii="Symbol" w:hAnsi="Symbol"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15:restartNumberingAfterBreak="0">
    <w:nsid w:val="06050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D178B"/>
    <w:multiLevelType w:val="hybridMultilevel"/>
    <w:tmpl w:val="64CC57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90135"/>
    <w:multiLevelType w:val="multilevel"/>
    <w:tmpl w:val="76B45540"/>
    <w:lvl w:ilvl="0">
      <w:start w:val="1"/>
      <w:numFmt w:val="bullet"/>
      <w:lvlText w:val=""/>
      <w:lvlJc w:val="left"/>
      <w:pPr>
        <w:ind w:left="502" w:hanging="360"/>
      </w:pPr>
      <w:rPr>
        <w:rFonts w:ascii="Symbol" w:hAnsi="Symbol"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56B525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C931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3B1B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1362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F70A80"/>
    <w:multiLevelType w:val="multilevel"/>
    <w:tmpl w:val="E138D4C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F25D78"/>
    <w:multiLevelType w:val="hybridMultilevel"/>
    <w:tmpl w:val="9A54ED92"/>
    <w:lvl w:ilvl="0" w:tplc="8EBE9982">
      <w:start w:val="1"/>
      <w:numFmt w:val="bullet"/>
      <w:pStyle w:val="Financ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778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9375033">
    <w:abstractNumId w:val="9"/>
  </w:num>
  <w:num w:numId="2" w16cid:durableId="1633948135">
    <w:abstractNumId w:val="9"/>
  </w:num>
  <w:num w:numId="3" w16cid:durableId="1296837733">
    <w:abstractNumId w:val="9"/>
  </w:num>
  <w:num w:numId="4" w16cid:durableId="76876286">
    <w:abstractNumId w:val="9"/>
  </w:num>
  <w:num w:numId="5" w16cid:durableId="1988775018">
    <w:abstractNumId w:val="9"/>
  </w:num>
  <w:num w:numId="6" w16cid:durableId="853298701">
    <w:abstractNumId w:val="9"/>
  </w:num>
  <w:num w:numId="7" w16cid:durableId="1461262109">
    <w:abstractNumId w:val="9"/>
  </w:num>
  <w:num w:numId="8" w16cid:durableId="1497650555">
    <w:abstractNumId w:val="9"/>
  </w:num>
  <w:num w:numId="9" w16cid:durableId="1632665333">
    <w:abstractNumId w:val="9"/>
  </w:num>
  <w:num w:numId="10" w16cid:durableId="1553693325">
    <w:abstractNumId w:val="7"/>
  </w:num>
  <w:num w:numId="11" w16cid:durableId="1771703519">
    <w:abstractNumId w:val="6"/>
  </w:num>
  <w:num w:numId="12" w16cid:durableId="825972156">
    <w:abstractNumId w:val="2"/>
  </w:num>
  <w:num w:numId="13" w16cid:durableId="1107700506">
    <w:abstractNumId w:val="4"/>
  </w:num>
  <w:num w:numId="14" w16cid:durableId="515576865">
    <w:abstractNumId w:val="10"/>
  </w:num>
  <w:num w:numId="15" w16cid:durableId="1398698789">
    <w:abstractNumId w:val="1"/>
  </w:num>
  <w:num w:numId="16" w16cid:durableId="2014919196">
    <w:abstractNumId w:val="5"/>
  </w:num>
  <w:num w:numId="17" w16cid:durableId="1692296382">
    <w:abstractNumId w:val="0"/>
  </w:num>
  <w:num w:numId="18" w16cid:durableId="284969969">
    <w:abstractNumId w:val="3"/>
  </w:num>
  <w:num w:numId="19" w16cid:durableId="8500223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10"/>
    <w:rsid w:val="00011BEB"/>
    <w:rsid w:val="00057AA2"/>
    <w:rsid w:val="00070D32"/>
    <w:rsid w:val="00077296"/>
    <w:rsid w:val="000F2E11"/>
    <w:rsid w:val="00107F5C"/>
    <w:rsid w:val="00145D2E"/>
    <w:rsid w:val="001A21BE"/>
    <w:rsid w:val="001D45B7"/>
    <w:rsid w:val="00266118"/>
    <w:rsid w:val="002702DD"/>
    <w:rsid w:val="002A3862"/>
    <w:rsid w:val="002D2372"/>
    <w:rsid w:val="002E2EF3"/>
    <w:rsid w:val="00361E50"/>
    <w:rsid w:val="003B7D0F"/>
    <w:rsid w:val="003C4E19"/>
    <w:rsid w:val="003F11CF"/>
    <w:rsid w:val="003F7646"/>
    <w:rsid w:val="0042154D"/>
    <w:rsid w:val="00453F4B"/>
    <w:rsid w:val="004740A2"/>
    <w:rsid w:val="004F1189"/>
    <w:rsid w:val="00500168"/>
    <w:rsid w:val="00516D03"/>
    <w:rsid w:val="00523E2E"/>
    <w:rsid w:val="00565359"/>
    <w:rsid w:val="00596F05"/>
    <w:rsid w:val="0060181C"/>
    <w:rsid w:val="00620054"/>
    <w:rsid w:val="006804F8"/>
    <w:rsid w:val="006C3E8D"/>
    <w:rsid w:val="006D1B5A"/>
    <w:rsid w:val="00732810"/>
    <w:rsid w:val="00801BDB"/>
    <w:rsid w:val="008173CA"/>
    <w:rsid w:val="008464A2"/>
    <w:rsid w:val="008605D4"/>
    <w:rsid w:val="008632B6"/>
    <w:rsid w:val="00880DC7"/>
    <w:rsid w:val="00931068"/>
    <w:rsid w:val="00950EA5"/>
    <w:rsid w:val="009A3AAA"/>
    <w:rsid w:val="009B2B6C"/>
    <w:rsid w:val="009C2C1F"/>
    <w:rsid w:val="009D2F7F"/>
    <w:rsid w:val="009F7D72"/>
    <w:rsid w:val="00A3242E"/>
    <w:rsid w:val="00A5522F"/>
    <w:rsid w:val="00A61D6C"/>
    <w:rsid w:val="00AC3725"/>
    <w:rsid w:val="00B84C6D"/>
    <w:rsid w:val="00C30C32"/>
    <w:rsid w:val="00C318D5"/>
    <w:rsid w:val="00C728FD"/>
    <w:rsid w:val="00CB79A2"/>
    <w:rsid w:val="00CF2130"/>
    <w:rsid w:val="00D02626"/>
    <w:rsid w:val="00D43DFB"/>
    <w:rsid w:val="00D44EE1"/>
    <w:rsid w:val="00D81A56"/>
    <w:rsid w:val="00D82806"/>
    <w:rsid w:val="00E236F7"/>
    <w:rsid w:val="00E86DFC"/>
    <w:rsid w:val="00FD3488"/>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A20B7BB"/>
  <w15:docId w15:val="{182AF691-D3D1-4304-AF7F-216F9CAE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03"/>
    <w:rPr>
      <w:sz w:val="24"/>
      <w:szCs w:val="24"/>
    </w:rPr>
  </w:style>
  <w:style w:type="paragraph" w:styleId="Heading1">
    <w:name w:val="heading 1"/>
    <w:basedOn w:val="Normal"/>
    <w:next w:val="Normal"/>
    <w:link w:val="Heading1Char"/>
    <w:uiPriority w:val="9"/>
    <w:qFormat/>
    <w:rsid w:val="0062005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43D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eader">
    <w:name w:val="Orange Header"/>
    <w:basedOn w:val="Normal"/>
    <w:autoRedefine/>
    <w:qFormat/>
    <w:rsid w:val="008605D4"/>
    <w:pPr>
      <w:ind w:left="-709"/>
    </w:pPr>
    <w:rPr>
      <w:rFonts w:ascii="Arial" w:hAnsi="Arial"/>
      <w:color w:val="D75522"/>
      <w:sz w:val="18"/>
    </w:rPr>
  </w:style>
  <w:style w:type="paragraph" w:customStyle="1" w:styleId="Orangeheader1">
    <w:name w:val="Orange header1"/>
    <w:basedOn w:val="Normal"/>
    <w:autoRedefine/>
    <w:qFormat/>
    <w:rsid w:val="008605D4"/>
    <w:pPr>
      <w:ind w:left="-709"/>
    </w:pPr>
    <w:rPr>
      <w:rFonts w:ascii="Arial" w:hAnsi="Arial"/>
      <w:b/>
      <w:sz w:val="28"/>
    </w:rPr>
  </w:style>
  <w:style w:type="paragraph" w:customStyle="1" w:styleId="body1">
    <w:name w:val="body 1"/>
    <w:basedOn w:val="PlainText"/>
    <w:qFormat/>
    <w:rsid w:val="008605D4"/>
    <w:rPr>
      <w:rFonts w:ascii="Arial" w:hAnsi="Arial"/>
      <w:color w:val="0D0D0D" w:themeColor="text1" w:themeTint="F2"/>
      <w:sz w:val="18"/>
    </w:rPr>
  </w:style>
  <w:style w:type="paragraph" w:styleId="PlainText">
    <w:name w:val="Plain Text"/>
    <w:basedOn w:val="Normal"/>
    <w:link w:val="PlainTextChar"/>
    <w:uiPriority w:val="99"/>
    <w:semiHidden/>
    <w:unhideWhenUsed/>
    <w:rsid w:val="008605D4"/>
    <w:pPr>
      <w:spacing w:after="0"/>
    </w:pPr>
    <w:rPr>
      <w:rFonts w:ascii="Courier" w:hAnsi="Courier"/>
      <w:sz w:val="21"/>
      <w:szCs w:val="21"/>
    </w:rPr>
  </w:style>
  <w:style w:type="character" w:customStyle="1" w:styleId="PlainTextChar">
    <w:name w:val="Plain Text Char"/>
    <w:basedOn w:val="DefaultParagraphFont"/>
    <w:link w:val="PlainText"/>
    <w:uiPriority w:val="99"/>
    <w:semiHidden/>
    <w:rsid w:val="008605D4"/>
    <w:rPr>
      <w:rFonts w:ascii="Courier" w:hAnsi="Courier"/>
      <w:sz w:val="21"/>
      <w:szCs w:val="21"/>
    </w:rPr>
  </w:style>
  <w:style w:type="paragraph" w:customStyle="1" w:styleId="Month">
    <w:name w:val="Month"/>
    <w:basedOn w:val="Normal"/>
    <w:autoRedefine/>
    <w:qFormat/>
    <w:rsid w:val="008605D4"/>
    <w:rPr>
      <w:rFonts w:ascii="Arial" w:hAnsi="Arial"/>
      <w:b/>
      <w:color w:val="FFFFFF" w:themeColor="background1"/>
      <w:sz w:val="40"/>
    </w:rPr>
  </w:style>
  <w:style w:type="paragraph" w:customStyle="1" w:styleId="Quoteofmonth">
    <w:name w:val="Quote of month"/>
    <w:basedOn w:val="Normal"/>
    <w:autoRedefine/>
    <w:rsid w:val="008605D4"/>
    <w:pPr>
      <w:spacing w:after="0"/>
    </w:pPr>
    <w:rPr>
      <w:rFonts w:ascii="Arial" w:eastAsia="Times New Roman" w:hAnsi="Arial" w:cs="Arial"/>
      <w:b/>
      <w:bCs/>
      <w:i/>
      <w:sz w:val="20"/>
    </w:rPr>
  </w:style>
  <w:style w:type="paragraph" w:customStyle="1" w:styleId="Body">
    <w:name w:val="Body"/>
    <w:basedOn w:val="body1"/>
    <w:autoRedefine/>
    <w:qFormat/>
    <w:rsid w:val="000F2E11"/>
    <w:rPr>
      <w:sz w:val="22"/>
    </w:rPr>
  </w:style>
  <w:style w:type="paragraph" w:customStyle="1" w:styleId="Style1">
    <w:name w:val="Style1"/>
    <w:basedOn w:val="Normal"/>
    <w:autoRedefine/>
    <w:qFormat/>
    <w:rsid w:val="000F2E11"/>
    <w:pPr>
      <w:spacing w:after="0" w:line="276" w:lineRule="auto"/>
    </w:pPr>
    <w:rPr>
      <w:rFonts w:ascii="Arial" w:eastAsia="SimSun" w:hAnsi="Arial" w:cs="Arial"/>
      <w:b/>
      <w:color w:val="245494"/>
      <w:szCs w:val="21"/>
      <w:lang w:eastAsia="zh-CN"/>
    </w:rPr>
  </w:style>
  <w:style w:type="table" w:styleId="TableGrid">
    <w:name w:val="Table Grid"/>
    <w:aliases w:val="C21 table"/>
    <w:basedOn w:val="TableGrid1"/>
    <w:uiPriority w:val="59"/>
    <w:rsid w:val="000F2E11"/>
    <w:pPr>
      <w:spacing w:after="100" w:afterAutospacing="1" w:line="276" w:lineRule="auto"/>
    </w:pPr>
    <w:rPr>
      <w:rFonts w:ascii="Arial" w:eastAsia="SimSun" w:hAnsi="Arial" w:cs="Arial"/>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autoRedefine/>
    <w:qFormat/>
    <w:rsid w:val="000F2E11"/>
    <w:pPr>
      <w:framePr w:hSpace="180" w:wrap="around" w:vAnchor="text" w:hAnchor="margin" w:x="128" w:y="-35"/>
      <w:spacing w:after="0" w:line="260" w:lineRule="atLeast"/>
    </w:pPr>
    <w:rPr>
      <w:rFonts w:ascii="Arial" w:eastAsia="SimSun" w:hAnsi="Arial" w:cs="Arial"/>
      <w:color w:val="0D0D0D" w:themeColor="text1" w:themeTint="F2"/>
      <w:sz w:val="20"/>
      <w:szCs w:val="21"/>
      <w:lang w:eastAsia="zh-CN"/>
    </w:rPr>
  </w:style>
  <w:style w:type="table" w:styleId="TableGrid1">
    <w:name w:val="Table Grid 1"/>
    <w:basedOn w:val="TableNormal"/>
    <w:uiPriority w:val="99"/>
    <w:semiHidden/>
    <w:unhideWhenUsed/>
    <w:rsid w:val="000F2E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ddresssender">
    <w:name w:val="address sender"/>
    <w:basedOn w:val="Normal"/>
    <w:autoRedefine/>
    <w:qFormat/>
    <w:rsid w:val="000F2E11"/>
    <w:pPr>
      <w:spacing w:after="120" w:line="276" w:lineRule="auto"/>
      <w:jc w:val="right"/>
    </w:pPr>
    <w:rPr>
      <w:rFonts w:ascii="Arial" w:eastAsia="SimSun" w:hAnsi="Arial" w:cs="Arial"/>
      <w:color w:val="0D0D0D" w:themeColor="text1" w:themeTint="F2"/>
      <w:sz w:val="22"/>
      <w:szCs w:val="21"/>
      <w:lang w:eastAsia="zh-CN"/>
    </w:rPr>
  </w:style>
  <w:style w:type="paragraph" w:customStyle="1" w:styleId="FinancialTitle">
    <w:name w:val="Financial Title"/>
    <w:basedOn w:val="Normal"/>
    <w:next w:val="Heading2"/>
    <w:qFormat/>
    <w:rsid w:val="00D43DFB"/>
    <w:pPr>
      <w:widowControl w:val="0"/>
      <w:snapToGrid w:val="0"/>
      <w:spacing w:after="0"/>
      <w:ind w:left="-284" w:right="-1"/>
      <w:contextualSpacing/>
      <w:jc w:val="center"/>
    </w:pPr>
    <w:rPr>
      <w:rFonts w:ascii="Arial" w:eastAsia="Times New Roman" w:hAnsi="Arial" w:cs="Times New Roman"/>
      <w:b/>
      <w:bCs/>
      <w:snapToGrid w:val="0"/>
      <w:sz w:val="28"/>
      <w:szCs w:val="28"/>
      <w:lang w:eastAsia="en-US"/>
    </w:rPr>
  </w:style>
  <w:style w:type="character" w:customStyle="1" w:styleId="Heading2Char">
    <w:name w:val="Heading 2 Char"/>
    <w:basedOn w:val="DefaultParagraphFont"/>
    <w:link w:val="Heading2"/>
    <w:uiPriority w:val="9"/>
    <w:semiHidden/>
    <w:rsid w:val="00D43DFB"/>
    <w:rPr>
      <w:rFonts w:asciiTheme="majorHAnsi" w:eastAsiaTheme="majorEastAsia" w:hAnsiTheme="majorHAnsi" w:cstheme="majorBidi"/>
      <w:b/>
      <w:bCs/>
      <w:color w:val="4F81BD" w:themeColor="accent1"/>
      <w:sz w:val="26"/>
      <w:szCs w:val="26"/>
    </w:rPr>
  </w:style>
  <w:style w:type="paragraph" w:customStyle="1" w:styleId="FinanceTitle">
    <w:name w:val="Finance Title"/>
    <w:basedOn w:val="Financebody"/>
    <w:next w:val="Heading2"/>
    <w:autoRedefine/>
    <w:qFormat/>
    <w:rsid w:val="00011BEB"/>
    <w:pPr>
      <w:snapToGrid w:val="0"/>
      <w:contextualSpacing/>
    </w:pPr>
    <w:rPr>
      <w:rFonts w:ascii="FS Clerkenwell" w:hAnsi="FS Clerkenwell"/>
      <w:b/>
      <w:bCs/>
      <w:sz w:val="28"/>
      <w:szCs w:val="28"/>
    </w:rPr>
  </w:style>
  <w:style w:type="paragraph" w:customStyle="1" w:styleId="Financebody">
    <w:name w:val="Finance body"/>
    <w:basedOn w:val="Normal"/>
    <w:next w:val="BodyText"/>
    <w:autoRedefine/>
    <w:qFormat/>
    <w:rsid w:val="00011BEB"/>
    <w:pPr>
      <w:widowControl w:val="0"/>
      <w:spacing w:after="0"/>
      <w:ind w:left="-284"/>
    </w:pPr>
    <w:rPr>
      <w:rFonts w:ascii="FS Clerkenwell Light" w:eastAsia="Times New Roman" w:hAnsi="FS Clerkenwell Light" w:cs="Times New Roman"/>
      <w:snapToGrid w:val="0"/>
      <w:lang w:eastAsia="en-US"/>
    </w:rPr>
  </w:style>
  <w:style w:type="paragraph" w:styleId="BodyText">
    <w:name w:val="Body Text"/>
    <w:basedOn w:val="Normal"/>
    <w:link w:val="BodyTextChar"/>
    <w:uiPriority w:val="99"/>
    <w:semiHidden/>
    <w:unhideWhenUsed/>
    <w:rsid w:val="00011BEB"/>
    <w:pPr>
      <w:spacing w:after="120"/>
    </w:pPr>
  </w:style>
  <w:style w:type="character" w:customStyle="1" w:styleId="BodyTextChar">
    <w:name w:val="Body Text Char"/>
    <w:basedOn w:val="DefaultParagraphFont"/>
    <w:link w:val="BodyText"/>
    <w:uiPriority w:val="99"/>
    <w:semiHidden/>
    <w:rsid w:val="00011BEB"/>
    <w:rPr>
      <w:sz w:val="24"/>
      <w:szCs w:val="24"/>
    </w:rPr>
  </w:style>
  <w:style w:type="paragraph" w:customStyle="1" w:styleId="Financeheader">
    <w:name w:val="Finance header"/>
    <w:basedOn w:val="Financebody"/>
    <w:next w:val="BodyText"/>
    <w:autoRedefine/>
    <w:qFormat/>
    <w:rsid w:val="00A3242E"/>
    <w:pPr>
      <w:spacing w:after="240"/>
      <w:ind w:left="-142"/>
    </w:pPr>
    <w:rPr>
      <w:rFonts w:ascii="FS Clerkenwell" w:hAnsi="FS Clerkenwell"/>
      <w:b/>
      <w:bCs/>
      <w:sz w:val="28"/>
      <w:szCs w:val="28"/>
      <w:u w:val="single"/>
      <w:lang w:eastAsia="en-GB"/>
    </w:rPr>
  </w:style>
  <w:style w:type="paragraph" w:customStyle="1" w:styleId="bullet">
    <w:name w:val="bullet"/>
    <w:basedOn w:val="Financebody"/>
    <w:autoRedefine/>
    <w:qFormat/>
    <w:rsid w:val="00011BEB"/>
    <w:pPr>
      <w:widowControl/>
      <w:snapToGrid w:val="0"/>
      <w:ind w:left="0" w:right="-1"/>
    </w:pPr>
    <w:rPr>
      <w:szCs w:val="22"/>
    </w:rPr>
  </w:style>
  <w:style w:type="paragraph" w:customStyle="1" w:styleId="Financebullet">
    <w:name w:val="Finance bullet"/>
    <w:basedOn w:val="Financebody"/>
    <w:autoRedefine/>
    <w:qFormat/>
    <w:rsid w:val="00077296"/>
    <w:pPr>
      <w:widowControl/>
      <w:numPr>
        <w:numId w:val="9"/>
      </w:numPr>
      <w:snapToGrid w:val="0"/>
      <w:spacing w:after="60"/>
    </w:pPr>
    <w:rPr>
      <w:szCs w:val="22"/>
    </w:rPr>
  </w:style>
  <w:style w:type="paragraph" w:customStyle="1" w:styleId="Financesub">
    <w:name w:val="Finance sub"/>
    <w:basedOn w:val="Financeheader"/>
    <w:next w:val="Financebody"/>
    <w:autoRedefine/>
    <w:qFormat/>
    <w:rsid w:val="00A3242E"/>
    <w:pPr>
      <w:spacing w:before="240" w:after="0"/>
    </w:pPr>
    <w:rPr>
      <w:sz w:val="26"/>
      <w:szCs w:val="24"/>
      <w:u w:val="none"/>
    </w:rPr>
  </w:style>
  <w:style w:type="paragraph" w:customStyle="1" w:styleId="Financecontents">
    <w:name w:val="Finance contents"/>
    <w:basedOn w:val="Financebody"/>
    <w:autoRedefine/>
    <w:qFormat/>
    <w:rsid w:val="00A3242E"/>
    <w:pPr>
      <w:spacing w:after="240"/>
    </w:pPr>
    <w:rPr>
      <w:rFonts w:ascii="FS Clerkenwell" w:hAnsi="FS Clerkenwell"/>
      <w:sz w:val="28"/>
    </w:rPr>
  </w:style>
  <w:style w:type="paragraph" w:customStyle="1" w:styleId="Financetablebold">
    <w:name w:val="Finance table bold"/>
    <w:basedOn w:val="Normal"/>
    <w:autoRedefine/>
    <w:qFormat/>
    <w:rsid w:val="00A3242E"/>
    <w:pPr>
      <w:widowControl w:val="0"/>
      <w:spacing w:after="0"/>
    </w:pPr>
    <w:rPr>
      <w:rFonts w:ascii="FS Clerkenwell" w:eastAsia="Times New Roman" w:hAnsi="FS Clerkenwell"/>
      <w:b/>
      <w:bCs/>
      <w:snapToGrid w:val="0"/>
      <w:szCs w:val="20"/>
      <w:lang w:eastAsia="en-US"/>
    </w:rPr>
  </w:style>
  <w:style w:type="paragraph" w:customStyle="1" w:styleId="Tablelighttext">
    <w:name w:val="Table light text"/>
    <w:basedOn w:val="Normal"/>
    <w:autoRedefine/>
    <w:qFormat/>
    <w:rsid w:val="00A3242E"/>
    <w:pPr>
      <w:widowControl w:val="0"/>
      <w:spacing w:after="0"/>
    </w:pPr>
    <w:rPr>
      <w:rFonts w:ascii="FS Clerkenwell Light" w:eastAsia="Times New Roman" w:hAnsi="FS Clerkenwell Light"/>
      <w:snapToGrid w:val="0"/>
      <w:szCs w:val="20"/>
      <w:lang w:eastAsia="en-US"/>
    </w:rPr>
  </w:style>
  <w:style w:type="paragraph" w:customStyle="1" w:styleId="Financetablelight">
    <w:name w:val="Finance table light"/>
    <w:basedOn w:val="Normal"/>
    <w:autoRedefine/>
    <w:qFormat/>
    <w:rsid w:val="00A3242E"/>
    <w:pPr>
      <w:widowControl w:val="0"/>
      <w:spacing w:after="0"/>
    </w:pPr>
    <w:rPr>
      <w:rFonts w:ascii="FS Clerkenwell Light" w:eastAsia="Times New Roman" w:hAnsi="FS Clerkenwell Light"/>
      <w:snapToGrid w:val="0"/>
      <w:szCs w:val="20"/>
      <w:lang w:eastAsia="en-US"/>
    </w:rPr>
  </w:style>
  <w:style w:type="paragraph" w:customStyle="1" w:styleId="financelightright">
    <w:name w:val="finance light right"/>
    <w:basedOn w:val="Financetablelight"/>
    <w:autoRedefine/>
    <w:qFormat/>
    <w:rsid w:val="00A3242E"/>
    <w:pPr>
      <w:jc w:val="right"/>
    </w:pPr>
  </w:style>
  <w:style w:type="paragraph" w:customStyle="1" w:styleId="financeboxtex">
    <w:name w:val="finance box tex"/>
    <w:basedOn w:val="Normal"/>
    <w:autoRedefine/>
    <w:qFormat/>
    <w:rsid w:val="00A3242E"/>
    <w:pPr>
      <w:widowControl w:val="0"/>
      <w:spacing w:after="0"/>
    </w:pPr>
    <w:rPr>
      <w:rFonts w:ascii="FS Clerkenwell" w:eastAsia="Times New Roman" w:hAnsi="FS Clerkenwell"/>
      <w:snapToGrid w:val="0"/>
      <w:szCs w:val="22"/>
      <w:lang w:eastAsia="en-US"/>
    </w:rPr>
  </w:style>
  <w:style w:type="paragraph" w:customStyle="1" w:styleId="Financesource">
    <w:name w:val="Finance source"/>
    <w:basedOn w:val="Financebody"/>
    <w:autoRedefine/>
    <w:qFormat/>
    <w:rsid w:val="00A3242E"/>
    <w:pPr>
      <w:spacing w:before="60"/>
      <w:ind w:left="-142"/>
    </w:pPr>
    <w:rPr>
      <w:i/>
    </w:rPr>
  </w:style>
  <w:style w:type="paragraph" w:customStyle="1" w:styleId="Financetableright">
    <w:name w:val="Finance table right"/>
    <w:basedOn w:val="Financetablelight"/>
    <w:autoRedefine/>
    <w:qFormat/>
    <w:rsid w:val="00A3242E"/>
    <w:pPr>
      <w:jc w:val="right"/>
    </w:pPr>
  </w:style>
  <w:style w:type="paragraph" w:customStyle="1" w:styleId="Financetotalbold">
    <w:name w:val="Finance total bold"/>
    <w:basedOn w:val="Financetableright"/>
    <w:autoRedefine/>
    <w:qFormat/>
    <w:rsid w:val="00A3242E"/>
    <w:rPr>
      <w:rFonts w:ascii="FS Clerkenwell" w:hAnsi="FS Clerkenwell"/>
      <w:b/>
    </w:rPr>
  </w:style>
  <w:style w:type="paragraph" w:customStyle="1" w:styleId="Financesub2">
    <w:name w:val="Finance sub2"/>
    <w:basedOn w:val="Financesub"/>
    <w:autoRedefine/>
    <w:qFormat/>
    <w:rsid w:val="00A3242E"/>
    <w:pPr>
      <w:spacing w:before="120" w:after="120"/>
    </w:pPr>
    <w:rPr>
      <w:b w:val="0"/>
      <w:bCs w:val="0"/>
      <w:sz w:val="24"/>
      <w:u w:val="single"/>
    </w:rPr>
  </w:style>
  <w:style w:type="paragraph" w:styleId="BalloonText">
    <w:name w:val="Balloon Text"/>
    <w:basedOn w:val="Normal"/>
    <w:link w:val="BalloonTextChar"/>
    <w:uiPriority w:val="99"/>
    <w:semiHidden/>
    <w:unhideWhenUsed/>
    <w:rsid w:val="0073281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2810"/>
    <w:rPr>
      <w:rFonts w:ascii="Lucida Grande" w:hAnsi="Lucida Grande"/>
      <w:sz w:val="18"/>
      <w:szCs w:val="18"/>
    </w:rPr>
  </w:style>
  <w:style w:type="paragraph" w:styleId="Header">
    <w:name w:val="header"/>
    <w:basedOn w:val="Normal"/>
    <w:link w:val="HeaderChar"/>
    <w:uiPriority w:val="99"/>
    <w:unhideWhenUsed/>
    <w:rsid w:val="00732810"/>
    <w:pPr>
      <w:tabs>
        <w:tab w:val="center" w:pos="4320"/>
        <w:tab w:val="right" w:pos="8640"/>
      </w:tabs>
      <w:spacing w:after="0"/>
    </w:pPr>
  </w:style>
  <w:style w:type="character" w:customStyle="1" w:styleId="HeaderChar">
    <w:name w:val="Header Char"/>
    <w:basedOn w:val="DefaultParagraphFont"/>
    <w:link w:val="Header"/>
    <w:uiPriority w:val="99"/>
    <w:rsid w:val="00732810"/>
    <w:rPr>
      <w:sz w:val="24"/>
      <w:szCs w:val="24"/>
    </w:rPr>
  </w:style>
  <w:style w:type="paragraph" w:styleId="Footer">
    <w:name w:val="footer"/>
    <w:basedOn w:val="Normal"/>
    <w:link w:val="FooterChar"/>
    <w:uiPriority w:val="99"/>
    <w:unhideWhenUsed/>
    <w:rsid w:val="00732810"/>
    <w:pPr>
      <w:tabs>
        <w:tab w:val="center" w:pos="4320"/>
        <w:tab w:val="right" w:pos="8640"/>
      </w:tabs>
      <w:spacing w:after="0"/>
    </w:pPr>
  </w:style>
  <w:style w:type="character" w:customStyle="1" w:styleId="FooterChar">
    <w:name w:val="Footer Char"/>
    <w:basedOn w:val="DefaultParagraphFont"/>
    <w:link w:val="Footer"/>
    <w:uiPriority w:val="99"/>
    <w:rsid w:val="00732810"/>
    <w:rPr>
      <w:sz w:val="24"/>
      <w:szCs w:val="24"/>
    </w:rPr>
  </w:style>
  <w:style w:type="character" w:customStyle="1" w:styleId="Heading1Char">
    <w:name w:val="Heading 1 Char"/>
    <w:basedOn w:val="DefaultParagraphFont"/>
    <w:link w:val="Heading1"/>
    <w:uiPriority w:val="9"/>
    <w:rsid w:val="00620054"/>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A61D6C"/>
    <w:pPr>
      <w:spacing w:after="0"/>
    </w:pPr>
    <w:rPr>
      <w:sz w:val="24"/>
      <w:szCs w:val="24"/>
    </w:rPr>
  </w:style>
  <w:style w:type="character" w:styleId="CommentReference">
    <w:name w:val="annotation reference"/>
    <w:basedOn w:val="DefaultParagraphFont"/>
    <w:uiPriority w:val="99"/>
    <w:semiHidden/>
    <w:unhideWhenUsed/>
    <w:rsid w:val="00D82806"/>
    <w:rPr>
      <w:sz w:val="16"/>
      <w:szCs w:val="16"/>
    </w:rPr>
  </w:style>
  <w:style w:type="paragraph" w:styleId="CommentText">
    <w:name w:val="annotation text"/>
    <w:basedOn w:val="Normal"/>
    <w:link w:val="CommentTextChar"/>
    <w:uiPriority w:val="99"/>
    <w:semiHidden/>
    <w:unhideWhenUsed/>
    <w:rsid w:val="00D82806"/>
    <w:pPr>
      <w:widowControl w:val="0"/>
      <w:autoSpaceDE w:val="0"/>
      <w:autoSpaceDN w:val="0"/>
      <w:spacing w:after="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D82806"/>
    <w:rPr>
      <w:rFonts w:ascii="Arial" w:eastAsia="Arial" w:hAnsi="Arial" w:cs="Arial"/>
      <w:lang w:val="en-US" w:eastAsia="en-US"/>
    </w:rPr>
  </w:style>
  <w:style w:type="table" w:customStyle="1" w:styleId="TableGrid10">
    <w:name w:val="Table Grid1"/>
    <w:basedOn w:val="TableNormal"/>
    <w:next w:val="TableGrid"/>
    <w:uiPriority w:val="39"/>
    <w:rsid w:val="00D82806"/>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D0F"/>
    <w:pPr>
      <w:ind w:left="720"/>
      <w:contextualSpacing/>
    </w:pPr>
  </w:style>
  <w:style w:type="paragraph" w:styleId="CommentSubject">
    <w:name w:val="annotation subject"/>
    <w:basedOn w:val="CommentText"/>
    <w:next w:val="CommentText"/>
    <w:link w:val="CommentSubjectChar"/>
    <w:uiPriority w:val="99"/>
    <w:semiHidden/>
    <w:unhideWhenUsed/>
    <w:rsid w:val="00145D2E"/>
    <w:pPr>
      <w:widowControl/>
      <w:autoSpaceDE/>
      <w:autoSpaceDN/>
      <w:spacing w:after="200"/>
    </w:pPr>
    <w:rPr>
      <w:rFonts w:asciiTheme="minorHAnsi" w:eastAsiaTheme="minorEastAsia" w:hAnsiTheme="minorHAnsi" w:cstheme="minorBidi"/>
      <w:b/>
      <w:bCs/>
      <w:lang w:val="en-GB" w:eastAsia="ja-JP"/>
    </w:rPr>
  </w:style>
  <w:style w:type="character" w:customStyle="1" w:styleId="CommentSubjectChar">
    <w:name w:val="Comment Subject Char"/>
    <w:basedOn w:val="CommentTextChar"/>
    <w:link w:val="CommentSubject"/>
    <w:uiPriority w:val="99"/>
    <w:semiHidden/>
    <w:rsid w:val="00145D2E"/>
    <w:rPr>
      <w:rFonts w:ascii="Arial" w:eastAsia="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9820">
      <w:bodyDiv w:val="1"/>
      <w:marLeft w:val="0"/>
      <w:marRight w:val="0"/>
      <w:marTop w:val="0"/>
      <w:marBottom w:val="0"/>
      <w:divBdr>
        <w:top w:val="none" w:sz="0" w:space="0" w:color="auto"/>
        <w:left w:val="none" w:sz="0" w:space="0" w:color="auto"/>
        <w:bottom w:val="none" w:sz="0" w:space="0" w:color="auto"/>
        <w:right w:val="none" w:sz="0" w:space="0" w:color="auto"/>
      </w:divBdr>
    </w:div>
    <w:div w:id="699863321">
      <w:bodyDiv w:val="1"/>
      <w:marLeft w:val="0"/>
      <w:marRight w:val="0"/>
      <w:marTop w:val="0"/>
      <w:marBottom w:val="0"/>
      <w:divBdr>
        <w:top w:val="none" w:sz="0" w:space="0" w:color="auto"/>
        <w:left w:val="none" w:sz="0" w:space="0" w:color="auto"/>
        <w:bottom w:val="none" w:sz="0" w:space="0" w:color="auto"/>
        <w:right w:val="none" w:sz="0" w:space="0" w:color="auto"/>
      </w:divBdr>
    </w:div>
    <w:div w:id="87458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yag7sNwwsrgGrYX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8570-C4E1-45EC-A053-D2AB9171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dc:creator>
  <cp:keywords/>
  <dc:description/>
  <cp:lastModifiedBy>Purvis, Alison</cp:lastModifiedBy>
  <cp:revision>3</cp:revision>
  <dcterms:created xsi:type="dcterms:W3CDTF">2024-11-01T14:11:00Z</dcterms:created>
  <dcterms:modified xsi:type="dcterms:W3CDTF">2024-12-09T09:58:00Z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