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2BA9" w14:textId="77777777" w:rsidR="00C468AD" w:rsidRDefault="00C468AD" w:rsidP="00C468AD">
      <w:pPr>
        <w:rPr>
          <w:sz w:val="24"/>
          <w:szCs w:val="24"/>
          <w:u w:val="single"/>
        </w:rPr>
      </w:pPr>
    </w:p>
    <w:p w14:paraId="651ABF32" w14:textId="77777777" w:rsidR="00C468AD" w:rsidRPr="00563EE5" w:rsidRDefault="00C468AD" w:rsidP="00C468AD">
      <w:pPr>
        <w:spacing w:after="0" w:line="240" w:lineRule="auto"/>
        <w:rPr>
          <w:rFonts w:cstheme="minorHAnsi"/>
          <w:b/>
          <w:sz w:val="24"/>
          <w:szCs w:val="24"/>
        </w:rPr>
      </w:pPr>
      <w:r w:rsidRPr="00563EE5">
        <w:rPr>
          <w:rFonts w:cstheme="minorHAnsi"/>
          <w:noProof/>
          <w:sz w:val="24"/>
          <w:szCs w:val="24"/>
          <w:lang w:eastAsia="en-GB"/>
        </w:rPr>
        <w:drawing>
          <wp:anchor distT="0" distB="0" distL="114300" distR="114300" simplePos="0" relativeHeight="251659264" behindDoc="1" locked="0" layoutInCell="1" allowOverlap="1" wp14:anchorId="31D2F7CD" wp14:editId="057946DF">
            <wp:simplePos x="0" y="0"/>
            <wp:positionH relativeFrom="column">
              <wp:posOffset>-25400</wp:posOffset>
            </wp:positionH>
            <wp:positionV relativeFrom="paragraph">
              <wp:posOffset>-264160</wp:posOffset>
            </wp:positionV>
            <wp:extent cx="1910715" cy="1148080"/>
            <wp:effectExtent l="0" t="0" r="0" b="0"/>
            <wp:wrapTight wrapText="bothSides">
              <wp:wrapPolygon edited="0">
                <wp:start x="0" y="0"/>
                <wp:lineTo x="0" y="21146"/>
                <wp:lineTo x="21320" y="21146"/>
                <wp:lineTo x="21320" y="0"/>
                <wp:lineTo x="0" y="0"/>
              </wp:wrapPolygon>
            </wp:wrapTight>
            <wp:docPr id="1" name="Picture 1" descr="https://portal.shu.ac.uk/departments/DOCA/Brand%20logos/Corporate%20logos/Corporate%20burgundy%20for%20digital%20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shu.ac.uk/departments/DOCA/Brand%20logos/Corporate%20logos/Corporate%20burgundy%20for%20digital%20use.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9189" t="9121" r="10811" b="9736"/>
                    <a:stretch/>
                  </pic:blipFill>
                  <pic:spPr bwMode="auto">
                    <a:xfrm>
                      <a:off x="0" y="0"/>
                      <a:ext cx="1910715" cy="114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25C1F9" w14:textId="77777777" w:rsidR="00C468AD" w:rsidRPr="00563EE5" w:rsidRDefault="00C468AD" w:rsidP="00C468AD">
      <w:pPr>
        <w:spacing w:after="0" w:line="240" w:lineRule="auto"/>
        <w:rPr>
          <w:rFonts w:cstheme="minorHAnsi"/>
          <w:b/>
          <w:sz w:val="24"/>
          <w:szCs w:val="24"/>
        </w:rPr>
      </w:pPr>
    </w:p>
    <w:p w14:paraId="198F3B03" w14:textId="77777777" w:rsidR="00C468AD" w:rsidRPr="00563EE5" w:rsidRDefault="00C468AD" w:rsidP="00C468AD">
      <w:pPr>
        <w:spacing w:after="0" w:line="240" w:lineRule="auto"/>
        <w:rPr>
          <w:rFonts w:cstheme="minorHAnsi"/>
          <w:b/>
          <w:sz w:val="24"/>
          <w:szCs w:val="24"/>
        </w:rPr>
      </w:pPr>
    </w:p>
    <w:p w14:paraId="26D7957E" w14:textId="77777777" w:rsidR="00C468AD" w:rsidRDefault="00C468AD" w:rsidP="00C468AD">
      <w:bookmarkStart w:id="0" w:name="_Toc115687368"/>
      <w:bookmarkStart w:id="1" w:name="_Toc115687446"/>
      <w:bookmarkStart w:id="2" w:name="_Toc115945316"/>
      <w:bookmarkStart w:id="3" w:name="_Toc116659897"/>
      <w:bookmarkStart w:id="4" w:name="_Toc117587145"/>
    </w:p>
    <w:p w14:paraId="378ECD7A" w14:textId="77777777" w:rsidR="00C468AD" w:rsidRDefault="00C468AD" w:rsidP="00C468AD">
      <w:pPr>
        <w:pStyle w:val="TOCHeading"/>
        <w:rPr>
          <w:rFonts w:asciiTheme="minorHAnsi" w:hAnsiTheme="minorHAnsi" w:cstheme="minorHAnsi"/>
          <w:b/>
          <w:bCs/>
          <w:sz w:val="28"/>
          <w:szCs w:val="28"/>
        </w:rPr>
      </w:pPr>
    </w:p>
    <w:p w14:paraId="168B040D" w14:textId="22D87258" w:rsidR="00C468AD" w:rsidRPr="003270B0" w:rsidRDefault="003A27C7" w:rsidP="00C468AD">
      <w:pPr>
        <w:pStyle w:val="Heading2"/>
      </w:pPr>
      <w:bookmarkStart w:id="5" w:name="_Toc128659971"/>
      <w:bookmarkEnd w:id="0"/>
      <w:bookmarkEnd w:id="1"/>
      <w:bookmarkEnd w:id="2"/>
      <w:bookmarkEnd w:id="3"/>
      <w:bookmarkEnd w:id="4"/>
      <w:r>
        <w:t>I</w:t>
      </w:r>
      <w:r w:rsidR="00C468AD" w:rsidRPr="003270B0">
        <w:t>ntroduction</w:t>
      </w:r>
      <w:bookmarkEnd w:id="5"/>
    </w:p>
    <w:p w14:paraId="6E271E8B" w14:textId="77777777" w:rsidR="00C468AD" w:rsidRDefault="00C468AD" w:rsidP="00C468AD">
      <w:pPr>
        <w:pStyle w:val="BodyText"/>
        <w:spacing w:after="0"/>
        <w:ind w:right="387"/>
        <w:rPr>
          <w:rFonts w:cs="Arial"/>
          <w:sz w:val="22"/>
          <w:szCs w:val="22"/>
        </w:rPr>
      </w:pPr>
    </w:p>
    <w:p w14:paraId="6DCBA0B2" w14:textId="36D998B5" w:rsidR="00C468AD" w:rsidRPr="000410D7" w:rsidRDefault="00C468AD" w:rsidP="00C468AD">
      <w:pPr>
        <w:pStyle w:val="BodyText"/>
        <w:spacing w:after="0"/>
        <w:ind w:right="387"/>
        <w:rPr>
          <w:rFonts w:cs="Arial"/>
        </w:rPr>
      </w:pPr>
      <w:r w:rsidRPr="000410D7">
        <w:rPr>
          <w:rFonts w:cs="Arial"/>
        </w:rPr>
        <w:t xml:space="preserve">Sheffield Hallam University uses a University Grade Descriptor (UGD): generic </w:t>
      </w:r>
      <w:r w:rsidRPr="000410D7">
        <w:rPr>
          <w:rFonts w:cs="Arial"/>
          <w:u w:val="single"/>
        </w:rPr>
        <w:t>grade</w:t>
      </w:r>
      <w:r w:rsidRPr="000410D7">
        <w:rPr>
          <w:rFonts w:cs="Arial"/>
        </w:rPr>
        <w:t xml:space="preserve"> and </w:t>
      </w:r>
      <w:r w:rsidRPr="000410D7">
        <w:rPr>
          <w:rFonts w:cs="Arial"/>
          <w:u w:val="single"/>
        </w:rPr>
        <w:t>level</w:t>
      </w:r>
      <w:r w:rsidRPr="000410D7">
        <w:rPr>
          <w:rFonts w:cs="Arial"/>
        </w:rPr>
        <w:t xml:space="preserve"> descriptors for application to undergraduate and postgraduate assessment, including </w:t>
      </w:r>
      <w:r>
        <w:rPr>
          <w:rFonts w:cs="Arial"/>
        </w:rPr>
        <w:t>f</w:t>
      </w:r>
      <w:r w:rsidRPr="000410D7">
        <w:rPr>
          <w:rFonts w:cs="Arial"/>
        </w:rPr>
        <w:t xml:space="preserve">oundation degree (FdA / FdSC /FdEng) and other provision </w:t>
      </w:r>
      <w:r>
        <w:rPr>
          <w:rFonts w:cs="Arial"/>
        </w:rPr>
        <w:t xml:space="preserve">eg </w:t>
      </w:r>
      <w:r w:rsidRPr="000410D7">
        <w:rPr>
          <w:rFonts w:cs="Arial"/>
        </w:rPr>
        <w:t xml:space="preserve">Foundation Year. The UGD also shows the relationship between classification and </w:t>
      </w:r>
      <w:r w:rsidR="004E7BA3">
        <w:rPr>
          <w:rFonts w:cs="Arial"/>
        </w:rPr>
        <w:t>percentage</w:t>
      </w:r>
      <w:r w:rsidRPr="000410D7">
        <w:rPr>
          <w:rFonts w:cs="Arial"/>
        </w:rPr>
        <w:t xml:space="preserve">, as applicable to assessment at task and / or module level. The purpose of defining these descriptors is to determine the University standard against which Departments can develop their own courses, modules and marking schemes. </w:t>
      </w:r>
    </w:p>
    <w:p w14:paraId="37E0C393" w14:textId="77777777" w:rsidR="00C468AD" w:rsidRPr="000410D7" w:rsidRDefault="00C468AD" w:rsidP="00C468AD">
      <w:pPr>
        <w:pStyle w:val="Heading2"/>
        <w:spacing w:before="0"/>
        <w:rPr>
          <w:szCs w:val="24"/>
        </w:rPr>
      </w:pPr>
    </w:p>
    <w:p w14:paraId="44BBC26F" w14:textId="77777777" w:rsidR="00C468AD" w:rsidRPr="000410D7" w:rsidRDefault="00C468AD" w:rsidP="00C468AD">
      <w:pPr>
        <w:pStyle w:val="BodyText"/>
        <w:spacing w:after="0"/>
        <w:ind w:right="249"/>
        <w:rPr>
          <w:rFonts w:cs="Arial"/>
          <w:i/>
        </w:rPr>
      </w:pPr>
      <w:r w:rsidRPr="000410D7">
        <w:rPr>
          <w:rFonts w:cs="Arial"/>
        </w:rPr>
        <w:t xml:space="preserve">The generic </w:t>
      </w:r>
      <w:r w:rsidRPr="000410D7">
        <w:rPr>
          <w:rFonts w:cs="Arial"/>
          <w:u w:val="single"/>
        </w:rPr>
        <w:t>grade</w:t>
      </w:r>
      <w:r w:rsidRPr="000410D7">
        <w:rPr>
          <w:rFonts w:cs="Arial"/>
        </w:rPr>
        <w:t xml:space="preserve"> descriptors define, for each level, the standards of performance expected across classification categories. These are aligned with the generic </w:t>
      </w:r>
      <w:r w:rsidRPr="000410D7">
        <w:rPr>
          <w:rFonts w:cs="Arial"/>
          <w:u w:val="single"/>
        </w:rPr>
        <w:t>level</w:t>
      </w:r>
      <w:r w:rsidRPr="000410D7">
        <w:rPr>
          <w:rFonts w:cs="Arial"/>
        </w:rPr>
        <w:t xml:space="preserve"> descriptors within the UGD document. The descriptors define common characteristics expected of work at each of the different marking bands, at each level of study. The descriptors also include</w:t>
      </w:r>
      <w:r w:rsidRPr="000410D7">
        <w:rPr>
          <w:rFonts w:cs="Arial"/>
          <w:b/>
        </w:rPr>
        <w:t xml:space="preserve"> (bold text)</w:t>
      </w:r>
      <w:r w:rsidRPr="000410D7">
        <w:rPr>
          <w:rFonts w:cs="Arial"/>
        </w:rPr>
        <w:t xml:space="preserve"> elements of the </w:t>
      </w:r>
      <w:hyperlink r:id="rId12" w:history="1">
        <w:r w:rsidRPr="000410D7">
          <w:rPr>
            <w:rStyle w:val="Hyperlink"/>
            <w:rFonts w:cs="Arial"/>
          </w:rPr>
          <w:t>Structure of Observed Learning Outcomes</w:t>
        </w:r>
      </w:hyperlink>
      <w:r w:rsidRPr="000410D7">
        <w:rPr>
          <w:rFonts w:cs="Arial"/>
        </w:rPr>
        <w:t xml:space="preserve"> (SOLO) taxonomy. These define different levels of understanding across the grades in terms of the structural complexity of students’ responses. Departments and Course Teams may choose to contextualise the general grade descriptors to suit specific discipline areas; however, it is important to retain the Solo Taxonomy features of the descriptors.</w:t>
      </w:r>
      <w:r w:rsidRPr="000410D7">
        <w:rPr>
          <w:rFonts w:cs="Arial"/>
          <w:i/>
        </w:rPr>
        <w:t xml:space="preserve"> </w:t>
      </w:r>
    </w:p>
    <w:p w14:paraId="721EE29B" w14:textId="77777777" w:rsidR="00C468AD" w:rsidRDefault="00C468AD" w:rsidP="00C468AD">
      <w:pPr>
        <w:pStyle w:val="Heading2"/>
      </w:pPr>
      <w:bookmarkStart w:id="6" w:name="_Toc128659972"/>
      <w:r w:rsidRPr="003270B0">
        <w:t xml:space="preserve">What are the generic </w:t>
      </w:r>
      <w:r w:rsidRPr="00EC6663">
        <w:rPr>
          <w:u w:val="single"/>
        </w:rPr>
        <w:t>level</w:t>
      </w:r>
      <w:r w:rsidRPr="003270B0">
        <w:t xml:space="preserve"> descriptors</w:t>
      </w:r>
      <w:r>
        <w:t>?</w:t>
      </w:r>
      <w:bookmarkEnd w:id="6"/>
    </w:p>
    <w:p w14:paraId="25E83CB0" w14:textId="77777777" w:rsidR="00C468AD" w:rsidRPr="000410D7" w:rsidRDefault="00C468AD" w:rsidP="00C468AD">
      <w:pPr>
        <w:pStyle w:val="BodyText"/>
        <w:spacing w:after="0"/>
        <w:ind w:right="268"/>
        <w:rPr>
          <w:rFonts w:cs="Arial"/>
        </w:rPr>
      </w:pPr>
      <w:r>
        <w:rPr>
          <w:rFonts w:cs="Arial"/>
          <w:sz w:val="22"/>
          <w:szCs w:val="22"/>
        </w:rPr>
        <w:br/>
      </w:r>
      <w:r w:rsidRPr="000410D7">
        <w:rPr>
          <w:rFonts w:cs="Arial"/>
        </w:rPr>
        <w:t>The generic level descriptors (or level outcomes) provide a guide to the relative demand, complexity, depth of study and degree of learner autonomy expected of a learner at different stages of study irrespective of the subject and context. The University generic level descriptor is consistent with the Ofqual</w:t>
      </w:r>
      <w:r w:rsidRPr="000410D7">
        <w:rPr>
          <w:rFonts w:cs="Arial"/>
          <w:vertAlign w:val="superscript"/>
        </w:rPr>
        <w:t xml:space="preserve"> </w:t>
      </w:r>
      <w:r w:rsidRPr="000410D7">
        <w:rPr>
          <w:rFonts w:cs="Arial"/>
        </w:rPr>
        <w:t xml:space="preserve">(Office of Qualifications and Examinations Regulation) National Qualifications Framework Levels 4, 5, 6 and 7. Descriptions reference the </w:t>
      </w:r>
      <w:hyperlink r:id="rId13" w:history="1">
        <w:r w:rsidRPr="000410D7">
          <w:rPr>
            <w:rStyle w:val="Hyperlink"/>
            <w:rFonts w:cs="Arial"/>
          </w:rPr>
          <w:t>QAA Quality Code for Higher Education</w:t>
        </w:r>
      </w:hyperlink>
      <w:r w:rsidRPr="000410D7">
        <w:rPr>
          <w:rFonts w:cs="Arial"/>
        </w:rPr>
        <w:t xml:space="preserve"> (2018). </w:t>
      </w:r>
    </w:p>
    <w:p w14:paraId="596CE076" w14:textId="77777777" w:rsidR="00C468AD" w:rsidRPr="000410D7" w:rsidRDefault="00C468AD" w:rsidP="00C468AD">
      <w:pPr>
        <w:pStyle w:val="BodyText"/>
        <w:spacing w:after="0"/>
        <w:ind w:right="268"/>
        <w:rPr>
          <w:rFonts w:cs="Arial"/>
        </w:rPr>
      </w:pPr>
    </w:p>
    <w:p w14:paraId="40EBF55F" w14:textId="77777777" w:rsidR="00C468AD" w:rsidRDefault="00C468AD" w:rsidP="00C468AD">
      <w:pPr>
        <w:pStyle w:val="BodyText"/>
        <w:spacing w:after="0"/>
        <w:ind w:right="268"/>
        <w:rPr>
          <w:rFonts w:cs="Arial"/>
        </w:rPr>
      </w:pPr>
      <w:r w:rsidRPr="000410D7">
        <w:rPr>
          <w:rFonts w:cs="Arial"/>
          <w:bCs/>
        </w:rPr>
        <w:lastRenderedPageBreak/>
        <w:t>In</w:t>
      </w:r>
      <w:r w:rsidRPr="000410D7">
        <w:rPr>
          <w:rFonts w:cs="Arial"/>
        </w:rPr>
        <w:t xml:space="preserve"> designing / re-designing courses, course teams should ensure that course and module learning outcomes at each level are appropriate to the generic </w:t>
      </w:r>
      <w:r w:rsidRPr="000410D7">
        <w:rPr>
          <w:rFonts w:cs="Arial"/>
          <w:b/>
          <w:bCs/>
        </w:rPr>
        <w:t>level descriptor</w:t>
      </w:r>
      <w:r w:rsidRPr="000410D7">
        <w:rPr>
          <w:rFonts w:cs="Arial"/>
        </w:rPr>
        <w:t xml:space="preserve"> within the UGD document. This should be used to design course and module outcomes and write pass descriptors.</w:t>
      </w:r>
    </w:p>
    <w:p w14:paraId="57AE4BAD" w14:textId="77777777" w:rsidR="001A3A2F" w:rsidRDefault="001A3A2F" w:rsidP="00C468AD">
      <w:pPr>
        <w:pStyle w:val="BodyText"/>
        <w:spacing w:after="0"/>
        <w:ind w:right="268"/>
        <w:rPr>
          <w:rFonts w:cs="Arial"/>
        </w:rPr>
      </w:pPr>
    </w:p>
    <w:p w14:paraId="66DE738A" w14:textId="301131BA" w:rsidR="001A3A2F" w:rsidRDefault="001A3A2F" w:rsidP="001A3A2F">
      <w:pPr>
        <w:pStyle w:val="Heading1"/>
        <w:rPr>
          <w:b w:val="0"/>
          <w:bCs/>
        </w:rPr>
      </w:pPr>
      <w:r>
        <w:rPr>
          <w:b w:val="0"/>
          <w:bCs/>
        </w:rPr>
        <w:t xml:space="preserve">The </w:t>
      </w:r>
      <w:hyperlink r:id="rId14" w:history="1">
        <w:r w:rsidRPr="00081D50">
          <w:rPr>
            <w:rStyle w:val="Hyperlink"/>
            <w:b w:val="0"/>
            <w:bCs/>
          </w:rPr>
          <w:t xml:space="preserve">revised UGD3 </w:t>
        </w:r>
        <w:r>
          <w:rPr>
            <w:rStyle w:val="Hyperlink"/>
            <w:b w:val="0"/>
            <w:bCs/>
          </w:rPr>
          <w:t xml:space="preserve">descriptor </w:t>
        </w:r>
        <w:r w:rsidRPr="00081D50">
          <w:rPr>
            <w:rStyle w:val="Hyperlink"/>
            <w:b w:val="0"/>
            <w:bCs/>
          </w:rPr>
          <w:t>tables</w:t>
        </w:r>
      </w:hyperlink>
      <w:r>
        <w:rPr>
          <w:b w:val="0"/>
          <w:bCs/>
        </w:rPr>
        <w:t xml:space="preserve"> are now found on webpages in MyHallam, so an appropriate </w:t>
      </w:r>
      <w:r w:rsidR="001C6FB3">
        <w:rPr>
          <w:b w:val="0"/>
          <w:bCs/>
        </w:rPr>
        <w:t>page link</w:t>
      </w:r>
      <w:r>
        <w:rPr>
          <w:b w:val="0"/>
          <w:bCs/>
        </w:rPr>
        <w:t xml:space="preserve"> can be shared with students</w:t>
      </w:r>
      <w:r w:rsidR="009A2AE1">
        <w:rPr>
          <w:b w:val="0"/>
          <w:bCs/>
        </w:rPr>
        <w:t xml:space="preserve"> on your Blackboard site</w:t>
      </w:r>
      <w:r>
        <w:rPr>
          <w:b w:val="0"/>
          <w:bCs/>
        </w:rPr>
        <w:t>.</w:t>
      </w:r>
    </w:p>
    <w:p w14:paraId="7F03643F" w14:textId="0128A191" w:rsidR="001A3A2F" w:rsidRDefault="00AF5AF4" w:rsidP="001A3A2F">
      <w:pPr>
        <w:pStyle w:val="ListParagraph"/>
        <w:numPr>
          <w:ilvl w:val="0"/>
          <w:numId w:val="44"/>
        </w:numPr>
      </w:pPr>
      <w:hyperlink r:id="rId15" w:history="1">
        <w:r w:rsidR="001A3A2F" w:rsidRPr="00AF5AF4">
          <w:rPr>
            <w:rStyle w:val="Hyperlink"/>
          </w:rPr>
          <w:t>Generic Level Descriptors (Level Outcomes)</w:t>
        </w:r>
      </w:hyperlink>
      <w:r w:rsidR="001A3A2F">
        <w:t xml:space="preserve"> - f</w:t>
      </w:r>
      <w:r w:rsidR="001A3A2F" w:rsidRPr="004C2DC5">
        <w:t>or reference in course / module design and development of pass descripto</w:t>
      </w:r>
      <w:r w:rsidR="001A3A2F">
        <w:t>rs</w:t>
      </w:r>
    </w:p>
    <w:p w14:paraId="4029D367" w14:textId="17C34E02" w:rsidR="001A3A2F" w:rsidRDefault="009562CF" w:rsidP="001A3A2F">
      <w:pPr>
        <w:pStyle w:val="ListParagraph"/>
        <w:numPr>
          <w:ilvl w:val="0"/>
          <w:numId w:val="44"/>
        </w:numPr>
      </w:pPr>
      <w:hyperlink r:id="rId16" w:history="1">
        <w:r w:rsidR="001A3A2F" w:rsidRPr="009562CF">
          <w:rPr>
            <w:rStyle w:val="Hyperlink"/>
          </w:rPr>
          <w:t>Foundation Years</w:t>
        </w:r>
      </w:hyperlink>
      <w:r w:rsidR="001A3A2F">
        <w:t xml:space="preserve"> </w:t>
      </w:r>
    </w:p>
    <w:p w14:paraId="1F9FDC7A" w14:textId="76100757" w:rsidR="001A3A2F" w:rsidRDefault="00AF5AF4" w:rsidP="001A3A2F">
      <w:pPr>
        <w:pStyle w:val="ListParagraph"/>
        <w:numPr>
          <w:ilvl w:val="0"/>
          <w:numId w:val="44"/>
        </w:numPr>
      </w:pPr>
      <w:hyperlink r:id="rId17" w:history="1">
        <w:r w:rsidR="001A3A2F" w:rsidRPr="00AF5AF4">
          <w:rPr>
            <w:rStyle w:val="Hyperlink"/>
          </w:rPr>
          <w:t>Level 4 – Generic Grade Descriptors</w:t>
        </w:r>
      </w:hyperlink>
    </w:p>
    <w:p w14:paraId="52DA07CA" w14:textId="6CE6AD28" w:rsidR="001A3A2F" w:rsidRDefault="009562CF" w:rsidP="001A3A2F">
      <w:pPr>
        <w:pStyle w:val="ListParagraph"/>
        <w:numPr>
          <w:ilvl w:val="0"/>
          <w:numId w:val="44"/>
        </w:numPr>
      </w:pPr>
      <w:hyperlink r:id="rId18" w:history="1">
        <w:r w:rsidR="001A3A2F" w:rsidRPr="009562CF">
          <w:rPr>
            <w:rStyle w:val="Hyperlink"/>
          </w:rPr>
          <w:t>Level 4 – Foundation Degree</w:t>
        </w:r>
      </w:hyperlink>
    </w:p>
    <w:p w14:paraId="1169B790" w14:textId="1A1B108B" w:rsidR="001A3A2F" w:rsidRDefault="009562CF" w:rsidP="001A3A2F">
      <w:pPr>
        <w:pStyle w:val="ListParagraph"/>
        <w:numPr>
          <w:ilvl w:val="0"/>
          <w:numId w:val="44"/>
        </w:numPr>
      </w:pPr>
      <w:hyperlink r:id="rId19" w:history="1">
        <w:r w:rsidR="001A3A2F" w:rsidRPr="009562CF">
          <w:rPr>
            <w:rStyle w:val="Hyperlink"/>
          </w:rPr>
          <w:t>Level 5 – Generic Grade Descriptors</w:t>
        </w:r>
      </w:hyperlink>
    </w:p>
    <w:p w14:paraId="1FB3C75C" w14:textId="47612102" w:rsidR="001A3A2F" w:rsidRDefault="00D82535" w:rsidP="001A3A2F">
      <w:pPr>
        <w:pStyle w:val="ListParagraph"/>
        <w:numPr>
          <w:ilvl w:val="0"/>
          <w:numId w:val="44"/>
        </w:numPr>
      </w:pPr>
      <w:hyperlink r:id="rId20" w:history="1">
        <w:r w:rsidR="001A3A2F" w:rsidRPr="00D82535">
          <w:rPr>
            <w:rStyle w:val="Hyperlink"/>
          </w:rPr>
          <w:t>Level 5 – Foundation Degree</w:t>
        </w:r>
      </w:hyperlink>
    </w:p>
    <w:p w14:paraId="4EF3E92A" w14:textId="7A90B920" w:rsidR="001A3A2F" w:rsidRDefault="00D82535" w:rsidP="001A3A2F">
      <w:pPr>
        <w:pStyle w:val="ListParagraph"/>
        <w:numPr>
          <w:ilvl w:val="0"/>
          <w:numId w:val="44"/>
        </w:numPr>
      </w:pPr>
      <w:hyperlink r:id="rId21" w:history="1">
        <w:r w:rsidR="001A3A2F" w:rsidRPr="00D82535">
          <w:rPr>
            <w:rStyle w:val="Hyperlink"/>
          </w:rPr>
          <w:t>Level 6 – Generic Grade Descriptors</w:t>
        </w:r>
      </w:hyperlink>
    </w:p>
    <w:p w14:paraId="7E44DACD" w14:textId="2B932162" w:rsidR="001A3A2F" w:rsidRPr="009D1DDE" w:rsidRDefault="00D82535" w:rsidP="001A3A2F">
      <w:pPr>
        <w:pStyle w:val="ListParagraph"/>
        <w:numPr>
          <w:ilvl w:val="0"/>
          <w:numId w:val="44"/>
        </w:numPr>
      </w:pPr>
      <w:hyperlink r:id="rId22" w:history="1">
        <w:r w:rsidR="001A3A2F" w:rsidRPr="00D82535">
          <w:rPr>
            <w:rStyle w:val="Hyperlink"/>
          </w:rPr>
          <w:t>Level 7 – Generic Grade Descriptors</w:t>
        </w:r>
      </w:hyperlink>
    </w:p>
    <w:p w14:paraId="42EB9250" w14:textId="77777777" w:rsidR="001A3A2F" w:rsidRDefault="001A3A2F" w:rsidP="00C468AD">
      <w:pPr>
        <w:pStyle w:val="BodyText"/>
        <w:spacing w:after="0"/>
        <w:ind w:right="268"/>
        <w:rPr>
          <w:rFonts w:cs="Arial"/>
        </w:rPr>
      </w:pPr>
    </w:p>
    <w:p w14:paraId="339125D8" w14:textId="77777777" w:rsidR="001A3A2F" w:rsidRDefault="001A3A2F" w:rsidP="00C468AD">
      <w:pPr>
        <w:pStyle w:val="BodyText"/>
        <w:spacing w:after="0"/>
        <w:ind w:right="268"/>
        <w:rPr>
          <w:rFonts w:eastAsiaTheme="majorEastAsia" w:cstheme="majorBidi"/>
          <w:b/>
          <w:bCs/>
          <w:color w:val="4472C4" w:themeColor="accent1"/>
          <w:szCs w:val="26"/>
        </w:rPr>
      </w:pPr>
    </w:p>
    <w:p w14:paraId="37310392" w14:textId="77777777" w:rsidR="00C468AD" w:rsidRPr="00CB27A5" w:rsidRDefault="00C468AD" w:rsidP="00C468AD">
      <w:pPr>
        <w:pStyle w:val="Heading2"/>
      </w:pPr>
      <w:bookmarkStart w:id="7" w:name="_Toc128659973"/>
      <w:r w:rsidRPr="00CB27A5">
        <w:t>What should I be using with my students?</w:t>
      </w:r>
      <w:bookmarkEnd w:id="7"/>
    </w:p>
    <w:p w14:paraId="6E62CB82" w14:textId="014565F6" w:rsidR="00C468AD" w:rsidRDefault="00C468AD" w:rsidP="00C468AD">
      <w:pPr>
        <w:rPr>
          <w:sz w:val="24"/>
          <w:szCs w:val="24"/>
          <w:lang w:eastAsia="ja-JP"/>
        </w:rPr>
      </w:pPr>
      <w:r>
        <w:rPr>
          <w:lang w:eastAsia="ja-JP"/>
        </w:rPr>
        <w:br/>
      </w:r>
      <w:r>
        <w:rPr>
          <w:sz w:val="24"/>
          <w:szCs w:val="24"/>
          <w:lang w:eastAsia="ja-JP"/>
        </w:rPr>
        <w:t>The 202</w:t>
      </w:r>
      <w:r w:rsidR="00D84F94">
        <w:rPr>
          <w:sz w:val="24"/>
          <w:szCs w:val="24"/>
          <w:lang w:eastAsia="ja-JP"/>
        </w:rPr>
        <w:t>4</w:t>
      </w:r>
      <w:r w:rsidR="001F5668">
        <w:rPr>
          <w:sz w:val="24"/>
          <w:szCs w:val="24"/>
          <w:lang w:eastAsia="ja-JP"/>
        </w:rPr>
        <w:t>-25</w:t>
      </w:r>
      <w:r>
        <w:rPr>
          <w:sz w:val="24"/>
          <w:szCs w:val="24"/>
          <w:lang w:eastAsia="ja-JP"/>
        </w:rPr>
        <w:t xml:space="preserve"> approach has been revised based on feedback from staff and students, and in light of new data regarding good honours awards</w:t>
      </w:r>
      <w:r w:rsidR="003A27C7">
        <w:rPr>
          <w:sz w:val="24"/>
          <w:szCs w:val="24"/>
          <w:lang w:eastAsia="ja-JP"/>
        </w:rPr>
        <w:t>, as well as ongoing organisational changes.</w:t>
      </w:r>
    </w:p>
    <w:p w14:paraId="5F262167" w14:textId="5B4863D7" w:rsidR="00C468AD" w:rsidRPr="002E05CC" w:rsidRDefault="00C468AD" w:rsidP="00C468AD">
      <w:pPr>
        <w:rPr>
          <w:sz w:val="24"/>
          <w:szCs w:val="24"/>
          <w:lang w:eastAsia="ja-JP"/>
        </w:rPr>
      </w:pPr>
      <w:r>
        <w:rPr>
          <w:sz w:val="24"/>
          <w:szCs w:val="24"/>
          <w:lang w:eastAsia="ja-JP"/>
        </w:rPr>
        <w:t xml:space="preserve">All courses should use </w:t>
      </w:r>
      <w:r w:rsidR="0096603A">
        <w:rPr>
          <w:sz w:val="24"/>
          <w:szCs w:val="24"/>
          <w:lang w:eastAsia="ja-JP"/>
        </w:rPr>
        <w:t xml:space="preserve">this </w:t>
      </w:r>
      <w:r w:rsidR="003A27C7">
        <w:rPr>
          <w:sz w:val="24"/>
          <w:szCs w:val="24"/>
          <w:lang w:eastAsia="ja-JP"/>
        </w:rPr>
        <w:t>“Revised</w:t>
      </w:r>
      <w:r w:rsidR="0096603A">
        <w:rPr>
          <w:sz w:val="24"/>
          <w:szCs w:val="24"/>
          <w:lang w:eastAsia="ja-JP"/>
        </w:rPr>
        <w:t xml:space="preserve"> UGD3</w:t>
      </w:r>
      <w:r w:rsidR="003A27C7">
        <w:rPr>
          <w:sz w:val="24"/>
          <w:szCs w:val="24"/>
          <w:lang w:eastAsia="ja-JP"/>
        </w:rPr>
        <w:t>”</w:t>
      </w:r>
      <w:r w:rsidR="0096603A">
        <w:rPr>
          <w:sz w:val="24"/>
          <w:szCs w:val="24"/>
          <w:lang w:eastAsia="ja-JP"/>
        </w:rPr>
        <w:t xml:space="preserve"> for all provision if possible</w:t>
      </w:r>
      <w:r>
        <w:rPr>
          <w:sz w:val="24"/>
          <w:szCs w:val="24"/>
          <w:lang w:eastAsia="ja-JP"/>
        </w:rPr>
        <w:t>.</w:t>
      </w:r>
    </w:p>
    <w:p w14:paraId="3116F757" w14:textId="77777777" w:rsidR="0096603A" w:rsidRDefault="00C468AD" w:rsidP="00C468AD">
      <w:pPr>
        <w:pStyle w:val="BodyText"/>
        <w:numPr>
          <w:ilvl w:val="0"/>
          <w:numId w:val="15"/>
        </w:numPr>
        <w:spacing w:after="0"/>
        <w:rPr>
          <w:rFonts w:cs="Arial"/>
        </w:rPr>
      </w:pPr>
      <w:r>
        <w:rPr>
          <w:rFonts w:cs="Arial"/>
          <w:bCs/>
        </w:rPr>
        <w:t>The 0</w:t>
      </w:r>
      <w:r w:rsidRPr="00736A4C">
        <w:rPr>
          <w:rFonts w:cs="Arial"/>
          <w:bCs/>
        </w:rPr>
        <w:t>-16</w:t>
      </w:r>
      <w:r w:rsidRPr="00736A4C">
        <w:rPr>
          <w:rFonts w:cs="Arial"/>
        </w:rPr>
        <w:t xml:space="preserve"> scale </w:t>
      </w:r>
      <w:r w:rsidR="0096603A">
        <w:rPr>
          <w:rFonts w:cs="Arial"/>
        </w:rPr>
        <w:t>has been removed and stood down.</w:t>
      </w:r>
    </w:p>
    <w:p w14:paraId="54DC4AE7" w14:textId="595BD451" w:rsidR="00C468AD" w:rsidRPr="00736A4C" w:rsidRDefault="0096603A" w:rsidP="00C468AD">
      <w:pPr>
        <w:pStyle w:val="BodyText"/>
        <w:numPr>
          <w:ilvl w:val="0"/>
          <w:numId w:val="15"/>
        </w:numPr>
        <w:spacing w:after="0"/>
        <w:rPr>
          <w:rFonts w:cs="Arial"/>
        </w:rPr>
      </w:pPr>
      <w:r>
        <w:rPr>
          <w:rFonts w:cs="Arial"/>
        </w:rPr>
        <w:t>Staff and students should</w:t>
      </w:r>
      <w:r w:rsidR="00C468AD" w:rsidRPr="00736A4C">
        <w:rPr>
          <w:rFonts w:cs="Arial"/>
        </w:rPr>
        <w:t xml:space="preserve"> use of the descriptive categories (mid-2.1, etc)</w:t>
      </w:r>
      <w:r w:rsidR="00C468AD">
        <w:rPr>
          <w:rFonts w:cs="Arial"/>
        </w:rPr>
        <w:t xml:space="preserve"> and the categorial percentage</w:t>
      </w:r>
      <w:r w:rsidR="00C468AD" w:rsidRPr="00736A4C">
        <w:rPr>
          <w:rFonts w:cs="Arial"/>
        </w:rPr>
        <w:t xml:space="preserve">. The equivalent % does not need to be used on rubrics and feedback reports.  </w:t>
      </w:r>
    </w:p>
    <w:p w14:paraId="22325BA2" w14:textId="77777777" w:rsidR="00C468AD" w:rsidRPr="00736A4C" w:rsidRDefault="00C468AD" w:rsidP="00C468AD">
      <w:pPr>
        <w:pStyle w:val="BodyText"/>
        <w:numPr>
          <w:ilvl w:val="0"/>
          <w:numId w:val="15"/>
        </w:numPr>
        <w:spacing w:after="0"/>
        <w:rPr>
          <w:rFonts w:cs="Arial"/>
        </w:rPr>
      </w:pPr>
      <w:r w:rsidRPr="00736A4C">
        <w:rPr>
          <w:rFonts w:cs="Arial"/>
        </w:rPr>
        <w:t xml:space="preserve">The UGD is normally applied at </w:t>
      </w:r>
      <w:r w:rsidRPr="00736A4C">
        <w:rPr>
          <w:rFonts w:cs="Arial"/>
          <w:b/>
        </w:rPr>
        <w:t>overall task</w:t>
      </w:r>
      <w:r w:rsidRPr="00736A4C">
        <w:rPr>
          <w:rFonts w:cs="Arial"/>
        </w:rPr>
        <w:t xml:space="preserve"> level (more detail below).  </w:t>
      </w:r>
    </w:p>
    <w:p w14:paraId="01755E8A" w14:textId="1A36A930" w:rsidR="003A27C7" w:rsidRPr="001C6FB3" w:rsidRDefault="00C468AD" w:rsidP="001C6FB3">
      <w:pPr>
        <w:pStyle w:val="BodyText"/>
        <w:numPr>
          <w:ilvl w:val="0"/>
          <w:numId w:val="15"/>
        </w:numPr>
        <w:spacing w:after="0"/>
        <w:rPr>
          <w:rFonts w:cs="Arial"/>
        </w:rPr>
      </w:pPr>
      <w:r w:rsidRPr="00736A4C">
        <w:rPr>
          <w:rFonts w:cs="Arial"/>
        </w:rPr>
        <w:t xml:space="preserve">The </w:t>
      </w:r>
      <w:r w:rsidRPr="00736A4C">
        <w:rPr>
          <w:rFonts w:cs="Arial"/>
          <w:b/>
          <w:bCs/>
        </w:rPr>
        <w:t>grade descriptors</w:t>
      </w:r>
      <w:r w:rsidRPr="00736A4C">
        <w:rPr>
          <w:rFonts w:cs="Arial"/>
        </w:rPr>
        <w:t xml:space="preserve"> should form part of or be used alongside student facing marking grids (rubrics) and </w:t>
      </w:r>
      <w:r w:rsidRPr="00736A4C">
        <w:rPr>
          <w:bCs/>
        </w:rPr>
        <w:t>feedback reports</w:t>
      </w:r>
      <w:r w:rsidRPr="00736A4C">
        <w:rPr>
          <w:rFonts w:cs="Arial"/>
        </w:rPr>
        <w:t xml:space="preserve"> for assessment tasks.</w:t>
      </w:r>
    </w:p>
    <w:p w14:paraId="623F9775" w14:textId="77777777" w:rsidR="00C468AD" w:rsidRPr="008E546B" w:rsidRDefault="00C468AD" w:rsidP="00C468AD">
      <w:pPr>
        <w:pStyle w:val="Heading2"/>
      </w:pPr>
      <w:bookmarkStart w:id="8" w:name="_Toc128659974"/>
      <w:r w:rsidRPr="008E546B">
        <w:lastRenderedPageBreak/>
        <w:t>If I have a module with both new and continuing students, what approach should I adopt?</w:t>
      </w:r>
      <w:bookmarkEnd w:id="8"/>
    </w:p>
    <w:p w14:paraId="3CA26176" w14:textId="254ADA5B" w:rsidR="00C468AD" w:rsidRPr="008E546B" w:rsidRDefault="003E08EB" w:rsidP="00C468AD">
      <w:pPr>
        <w:rPr>
          <w:b/>
          <w:bCs/>
        </w:rPr>
      </w:pPr>
      <w:r>
        <w:t xml:space="preserve">This </w:t>
      </w:r>
      <w:r w:rsidR="003A27C7">
        <w:t>R</w:t>
      </w:r>
      <w:r>
        <w:t xml:space="preserve">evised </w:t>
      </w:r>
      <w:r w:rsidR="00C2665B">
        <w:t>UGD3 is having a big bang rollout. Please use this version with all students.</w:t>
      </w:r>
    </w:p>
    <w:p w14:paraId="71E83A6B" w14:textId="78AB662B" w:rsidR="00C468AD" w:rsidRPr="00173EAE" w:rsidRDefault="00C468AD" w:rsidP="003A27C7">
      <w:pPr>
        <w:pStyle w:val="Heading2"/>
        <w:rPr>
          <w:rFonts w:cstheme="minorHAnsi"/>
          <w:b w:val="0"/>
          <w:bCs/>
          <w:szCs w:val="24"/>
        </w:rPr>
      </w:pPr>
      <w:bookmarkStart w:id="9" w:name="_Toc128659976"/>
      <w:r w:rsidRPr="00563EE5">
        <w:t>What is the estimated timeline for implementation of GBA?</w:t>
      </w:r>
      <w:bookmarkEnd w:id="9"/>
    </w:p>
    <w:p w14:paraId="75160FD5" w14:textId="4E107DEE" w:rsidR="00C468AD" w:rsidRPr="00563EE5" w:rsidRDefault="00351939" w:rsidP="00C468AD">
      <w:pPr>
        <w:spacing w:after="0" w:line="240" w:lineRule="auto"/>
        <w:rPr>
          <w:rFonts w:cstheme="minorHAnsi"/>
          <w:sz w:val="24"/>
          <w:szCs w:val="24"/>
        </w:rPr>
      </w:pPr>
      <w:r>
        <w:rPr>
          <w:rFonts w:cstheme="minorHAnsi"/>
          <w:sz w:val="24"/>
          <w:szCs w:val="24"/>
        </w:rPr>
        <w:t>There are no immediate plans to introduce GBA 0-16 as per previous grade descriptors</w:t>
      </w:r>
      <w:r w:rsidR="00F90C4E">
        <w:rPr>
          <w:rFonts w:cstheme="minorHAnsi"/>
          <w:sz w:val="24"/>
          <w:szCs w:val="24"/>
        </w:rPr>
        <w:t>.</w:t>
      </w:r>
    </w:p>
    <w:p w14:paraId="6A6A4D0C" w14:textId="77777777" w:rsidR="00C468AD" w:rsidRPr="00563EE5" w:rsidRDefault="00C468AD" w:rsidP="00C468AD">
      <w:pPr>
        <w:spacing w:after="0" w:line="240" w:lineRule="auto"/>
        <w:rPr>
          <w:rFonts w:cstheme="minorHAnsi"/>
          <w:sz w:val="24"/>
          <w:szCs w:val="24"/>
        </w:rPr>
      </w:pPr>
    </w:p>
    <w:p w14:paraId="18FDE652" w14:textId="77777777" w:rsidR="00C468AD" w:rsidRPr="00563EE5" w:rsidRDefault="00C468AD" w:rsidP="00C468AD">
      <w:pPr>
        <w:spacing w:after="0" w:line="240" w:lineRule="auto"/>
        <w:rPr>
          <w:rFonts w:cstheme="minorHAnsi"/>
          <w:sz w:val="24"/>
          <w:szCs w:val="24"/>
        </w:rPr>
      </w:pPr>
    </w:p>
    <w:p w14:paraId="76B8A034" w14:textId="1036F2AC" w:rsidR="00C468AD" w:rsidRDefault="00C468AD" w:rsidP="0028603F">
      <w:pPr>
        <w:spacing w:after="0" w:line="240" w:lineRule="auto"/>
        <w:rPr>
          <w:rFonts w:cstheme="minorHAnsi"/>
          <w:sz w:val="24"/>
          <w:szCs w:val="24"/>
        </w:rPr>
      </w:pPr>
      <w:bookmarkStart w:id="10" w:name="_Toc128659978"/>
      <w:r w:rsidRPr="00736A4C">
        <w:rPr>
          <w:rStyle w:val="Heading2Char"/>
        </w:rPr>
        <w:t>How will this be shared with students?</w:t>
      </w:r>
      <w:bookmarkEnd w:id="10"/>
      <w:r w:rsidRPr="00563EE5">
        <w:rPr>
          <w:rFonts w:cstheme="minorHAnsi"/>
          <w:b/>
          <w:sz w:val="24"/>
          <w:szCs w:val="24"/>
        </w:rPr>
        <w:br/>
      </w:r>
      <w:r w:rsidRPr="00563EE5">
        <w:rPr>
          <w:rFonts w:cstheme="minorHAnsi"/>
          <w:sz w:val="24"/>
          <w:szCs w:val="24"/>
        </w:rPr>
        <w:t xml:space="preserve">Links to the UGD will be available in the Assessment and Awards section of MyHallam and as such will be available to all students for reference. At the local level, this can be communicated on course organisation Blackboard sites as a general reference for all students, in Assessment sections of Blackboard as a generic reference for students, and as part of individual task rubrics (see example included at the end of these FAQ). Subject areas should agree a consistent approach and apply this. </w:t>
      </w:r>
    </w:p>
    <w:p w14:paraId="4E8FFAC7" w14:textId="77777777" w:rsidR="0028603F" w:rsidRPr="00563EE5" w:rsidRDefault="0028603F" w:rsidP="0028603F">
      <w:pPr>
        <w:spacing w:after="0" w:line="240" w:lineRule="auto"/>
        <w:rPr>
          <w:rFonts w:cstheme="minorHAnsi"/>
          <w:i/>
          <w:iCs/>
          <w:sz w:val="24"/>
          <w:szCs w:val="24"/>
        </w:rPr>
      </w:pPr>
    </w:p>
    <w:p w14:paraId="23E6F390" w14:textId="77777777" w:rsidR="00C468AD" w:rsidRPr="00563EE5" w:rsidRDefault="00C468AD" w:rsidP="00C468AD">
      <w:pPr>
        <w:pStyle w:val="Heading2"/>
      </w:pPr>
      <w:bookmarkStart w:id="11" w:name="_Toc128659979"/>
      <w:r w:rsidRPr="00563EE5">
        <w:t>Does the UGD apply to exams, phase tests or exam-like course work where a fixed mark (due to correct / incorrect answers) is the result?</w:t>
      </w:r>
      <w:bookmarkEnd w:id="11"/>
    </w:p>
    <w:p w14:paraId="6E1A9AC6" w14:textId="11A8D76C" w:rsidR="00C468AD" w:rsidRDefault="0028603F" w:rsidP="00C468AD">
      <w:pPr>
        <w:rPr>
          <w:rFonts w:cstheme="minorHAnsi"/>
          <w:sz w:val="24"/>
          <w:szCs w:val="24"/>
        </w:rPr>
      </w:pPr>
      <w:r>
        <w:rPr>
          <w:rFonts w:cstheme="minorHAnsi"/>
          <w:sz w:val="24"/>
          <w:szCs w:val="24"/>
        </w:rPr>
        <w:t>Raw-score assessments such as phase tests and exams are exempt from having to give a categorical percentage. You may give the true raw score – even if that is not a specified categorical grade. EG: a student achieves 10/10 on a series of calculation based questions in a phase test. You can now award them 100%.</w:t>
      </w:r>
    </w:p>
    <w:p w14:paraId="0F2AB125" w14:textId="3DAE7A24" w:rsidR="00C468AD" w:rsidRDefault="003A27C7" w:rsidP="00C468AD">
      <w:pPr>
        <w:spacing w:after="0" w:line="240" w:lineRule="auto"/>
        <w:rPr>
          <w:rFonts w:cstheme="minorHAnsi"/>
          <w:b/>
          <w:sz w:val="24"/>
          <w:szCs w:val="24"/>
        </w:rPr>
      </w:pPr>
      <w:bookmarkStart w:id="12" w:name="_Toc128659981"/>
      <w:r>
        <w:rPr>
          <w:rStyle w:val="Heading2Char"/>
        </w:rPr>
        <w:t>D</w:t>
      </w:r>
      <w:r w:rsidR="00C468AD" w:rsidRPr="008459F0">
        <w:rPr>
          <w:rStyle w:val="Heading2Char"/>
        </w:rPr>
        <w:t>oes the university grade descriptor apply to Foundation degree awards?</w:t>
      </w:r>
      <w:bookmarkEnd w:id="12"/>
      <w:r w:rsidR="00C468AD" w:rsidRPr="00563EE5">
        <w:rPr>
          <w:rFonts w:cstheme="minorHAnsi"/>
          <w:b/>
          <w:sz w:val="24"/>
          <w:szCs w:val="24"/>
        </w:rPr>
        <w:t xml:space="preserve"> </w:t>
      </w:r>
    </w:p>
    <w:p w14:paraId="73DA901C" w14:textId="77777777" w:rsidR="00C468AD" w:rsidRPr="00563EE5" w:rsidRDefault="00C468AD" w:rsidP="00C468AD">
      <w:pPr>
        <w:spacing w:after="0" w:line="240" w:lineRule="auto"/>
        <w:rPr>
          <w:rFonts w:cstheme="minorHAnsi"/>
          <w:sz w:val="24"/>
          <w:szCs w:val="24"/>
        </w:rPr>
      </w:pPr>
      <w:r w:rsidRPr="00563EE5">
        <w:rPr>
          <w:rFonts w:cstheme="minorHAnsi"/>
          <w:sz w:val="24"/>
          <w:szCs w:val="24"/>
        </w:rPr>
        <w:t xml:space="preserve">Yes. We have developed a version of the UGD to apply to FdA / FdSc / FdEng, as well as other awards that do not fit the standard undergraduate or postgraduate classification bands (University Cert of HE; BTEC HNC; University Cert in Education (Cert Ed); University Dip of HE; BTEC HND; Advanced Dip of HE; Ordinary Degree; Graduate Cert; Graduate Dip). </w:t>
      </w:r>
    </w:p>
    <w:p w14:paraId="22D780CE" w14:textId="77777777" w:rsidR="00C468AD" w:rsidRPr="00563EE5" w:rsidRDefault="00C468AD" w:rsidP="00C468AD">
      <w:pPr>
        <w:pStyle w:val="Heading2"/>
      </w:pPr>
      <w:bookmarkStart w:id="13" w:name="_Toc128659982"/>
      <w:r w:rsidRPr="00563EE5">
        <w:t>Does the UGD apply to Foundation Year (Level 0)?</w:t>
      </w:r>
      <w:bookmarkEnd w:id="13"/>
    </w:p>
    <w:p w14:paraId="4075116A" w14:textId="77777777" w:rsidR="00C468AD" w:rsidRPr="00563EE5" w:rsidRDefault="00C468AD" w:rsidP="00C468AD">
      <w:pPr>
        <w:spacing w:after="0" w:line="240" w:lineRule="auto"/>
        <w:rPr>
          <w:rFonts w:cstheme="minorHAnsi"/>
          <w:sz w:val="24"/>
          <w:szCs w:val="24"/>
        </w:rPr>
      </w:pPr>
      <w:r>
        <w:rPr>
          <w:rFonts w:cstheme="minorHAnsi"/>
          <w:sz w:val="24"/>
          <w:szCs w:val="24"/>
        </w:rPr>
        <w:t>T</w:t>
      </w:r>
      <w:r w:rsidRPr="00563EE5">
        <w:rPr>
          <w:rFonts w:cstheme="minorHAnsi"/>
          <w:sz w:val="24"/>
          <w:szCs w:val="24"/>
        </w:rPr>
        <w:t xml:space="preserve">hese courses operate as 'access courses' and fundamentally are pass/fail for no academic credit, even if students are given grades. However, we have developed an Foundation Year UGD which </w:t>
      </w:r>
      <w:r>
        <w:rPr>
          <w:rFonts w:cstheme="minorHAnsi"/>
          <w:sz w:val="24"/>
          <w:szCs w:val="24"/>
        </w:rPr>
        <w:t>should be used</w:t>
      </w:r>
      <w:r w:rsidRPr="00563EE5">
        <w:rPr>
          <w:rFonts w:cstheme="minorHAnsi"/>
          <w:sz w:val="24"/>
          <w:szCs w:val="24"/>
        </w:rPr>
        <w:t xml:space="preserve"> to acclimatise students to the assessment practices they will experience as they progress through their award. </w:t>
      </w:r>
    </w:p>
    <w:p w14:paraId="6629DA49" w14:textId="77777777" w:rsidR="00C468AD" w:rsidRPr="00563EE5" w:rsidRDefault="00C468AD" w:rsidP="00C468AD">
      <w:pPr>
        <w:spacing w:after="0" w:line="240" w:lineRule="auto"/>
        <w:rPr>
          <w:rFonts w:cstheme="minorHAnsi"/>
          <w:b/>
          <w:bCs/>
          <w:sz w:val="24"/>
          <w:szCs w:val="24"/>
        </w:rPr>
      </w:pPr>
      <w:r w:rsidRPr="00563EE5">
        <w:rPr>
          <w:rFonts w:cstheme="minorHAnsi"/>
          <w:b/>
          <w:bCs/>
          <w:sz w:val="24"/>
          <w:szCs w:val="24"/>
        </w:rPr>
        <w:br/>
      </w:r>
      <w:bookmarkStart w:id="14" w:name="_Toc128659983"/>
      <w:r w:rsidRPr="008459F0">
        <w:rPr>
          <w:rStyle w:val="Heading2Char"/>
        </w:rPr>
        <w:t>Does the UGD apply to Level 7?</w:t>
      </w:r>
      <w:bookmarkEnd w:id="14"/>
      <w:r w:rsidRPr="00563EE5">
        <w:rPr>
          <w:rFonts w:cstheme="minorHAnsi"/>
          <w:b/>
          <w:bCs/>
          <w:sz w:val="24"/>
          <w:szCs w:val="24"/>
        </w:rPr>
        <w:t xml:space="preserve"> </w:t>
      </w:r>
      <w:r w:rsidRPr="00563EE5">
        <w:rPr>
          <w:rFonts w:cstheme="minorHAnsi"/>
          <w:b/>
          <w:bCs/>
          <w:sz w:val="24"/>
          <w:szCs w:val="24"/>
        </w:rPr>
        <w:br/>
      </w:r>
      <w:r>
        <w:rPr>
          <w:rFonts w:cstheme="minorHAnsi"/>
          <w:color w:val="000000"/>
          <w:sz w:val="24"/>
          <w:szCs w:val="24"/>
        </w:rPr>
        <w:t xml:space="preserve">Yes.  </w:t>
      </w:r>
      <w:r w:rsidRPr="00563EE5">
        <w:rPr>
          <w:rFonts w:cstheme="minorHAnsi"/>
          <w:color w:val="000000"/>
          <w:sz w:val="24"/>
          <w:szCs w:val="24"/>
        </w:rPr>
        <w:t xml:space="preserve"> </w:t>
      </w:r>
    </w:p>
    <w:p w14:paraId="6EA806FF" w14:textId="77777777" w:rsidR="00C468AD" w:rsidRPr="00563EE5" w:rsidRDefault="00C468AD" w:rsidP="00C468AD">
      <w:pPr>
        <w:pStyle w:val="Heading2"/>
      </w:pPr>
      <w:bookmarkStart w:id="15" w:name="_Toc128659984"/>
      <w:r w:rsidRPr="00563EE5">
        <w:lastRenderedPageBreak/>
        <w:t>Can the grade descriptors be amended?</w:t>
      </w:r>
      <w:bookmarkEnd w:id="15"/>
    </w:p>
    <w:p w14:paraId="3F2154BB" w14:textId="77777777" w:rsidR="00C468AD" w:rsidRPr="00563EE5" w:rsidRDefault="00C468AD" w:rsidP="00C468AD">
      <w:pPr>
        <w:spacing w:after="0" w:line="240" w:lineRule="auto"/>
        <w:rPr>
          <w:rFonts w:cstheme="minorHAnsi"/>
          <w:sz w:val="24"/>
          <w:szCs w:val="24"/>
        </w:rPr>
      </w:pPr>
      <w:r w:rsidRPr="00563EE5">
        <w:rPr>
          <w:rFonts w:cstheme="minorHAnsi"/>
          <w:sz w:val="24"/>
          <w:szCs w:val="24"/>
        </w:rPr>
        <w:t xml:space="preserve">Colleagues can amend descriptors to add context if this works better for them, but references to the </w:t>
      </w:r>
      <w:r w:rsidRPr="00563EE5">
        <w:rPr>
          <w:rFonts w:cstheme="minorHAnsi"/>
          <w:b/>
          <w:bCs/>
          <w:sz w:val="24"/>
          <w:szCs w:val="24"/>
        </w:rPr>
        <w:t>SOLO taxonomy</w:t>
      </w:r>
      <w:r w:rsidRPr="00563EE5">
        <w:rPr>
          <w:rFonts w:cstheme="minorHAnsi"/>
          <w:sz w:val="24"/>
          <w:szCs w:val="24"/>
        </w:rPr>
        <w:t xml:space="preserve"> (in bold) should remain. Colleagues should be careful not to develop overlong / confusing rubrics and advice is available from LTA leads (or similar) to support development work if needed. </w:t>
      </w:r>
    </w:p>
    <w:p w14:paraId="7CBC5994" w14:textId="77777777" w:rsidR="00C468AD" w:rsidRPr="00563EE5" w:rsidRDefault="00C468AD" w:rsidP="00C468AD">
      <w:pPr>
        <w:pStyle w:val="Heading2"/>
      </w:pPr>
      <w:bookmarkStart w:id="16" w:name="_Toc128659985"/>
      <w:r>
        <w:t>Should we amalgamate the UGD</w:t>
      </w:r>
      <w:r w:rsidRPr="00563EE5">
        <w:t xml:space="preserve"> with local house style rubrics?</w:t>
      </w:r>
      <w:bookmarkEnd w:id="16"/>
      <w:r w:rsidRPr="00563EE5">
        <w:t xml:space="preserve">  </w:t>
      </w:r>
    </w:p>
    <w:p w14:paraId="60C58630" w14:textId="66AA805B" w:rsidR="00C468AD" w:rsidRDefault="00C468AD" w:rsidP="00C468AD">
      <w:pPr>
        <w:spacing w:after="0" w:line="240" w:lineRule="auto"/>
        <w:rPr>
          <w:rFonts w:cstheme="minorHAnsi"/>
          <w:sz w:val="24"/>
          <w:szCs w:val="24"/>
        </w:rPr>
      </w:pPr>
      <w:r w:rsidRPr="00563EE5">
        <w:rPr>
          <w:rFonts w:cstheme="minorHAnsi"/>
          <w:sz w:val="24"/>
          <w:szCs w:val="24"/>
        </w:rPr>
        <w:t xml:space="preserve">Amalgamation is difficult and can lead to overlong rubrics that are confusing. If this is a concern, using the </w:t>
      </w:r>
      <w:r w:rsidR="003A27C7">
        <w:rPr>
          <w:rFonts w:cstheme="minorHAnsi"/>
          <w:sz w:val="24"/>
          <w:szCs w:val="24"/>
        </w:rPr>
        <w:t>R</w:t>
      </w:r>
      <w:r w:rsidRPr="00563EE5">
        <w:rPr>
          <w:rFonts w:cstheme="minorHAnsi"/>
          <w:sz w:val="24"/>
          <w:szCs w:val="24"/>
        </w:rPr>
        <w:t>evised UGD</w:t>
      </w:r>
      <w:r w:rsidR="007D7AFC">
        <w:rPr>
          <w:rFonts w:cstheme="minorHAnsi"/>
          <w:sz w:val="24"/>
          <w:szCs w:val="24"/>
        </w:rPr>
        <w:t>3</w:t>
      </w:r>
      <w:r w:rsidRPr="00563EE5">
        <w:rPr>
          <w:rFonts w:cstheme="minorHAnsi"/>
          <w:sz w:val="24"/>
          <w:szCs w:val="24"/>
        </w:rPr>
        <w:t xml:space="preserve"> (a </w:t>
      </w:r>
      <w:r w:rsidRPr="00563EE5">
        <w:rPr>
          <w:rFonts w:cstheme="minorHAnsi"/>
          <w:b/>
          <w:sz w:val="24"/>
          <w:szCs w:val="24"/>
        </w:rPr>
        <w:t>generic</w:t>
      </w:r>
      <w:r w:rsidRPr="00563EE5">
        <w:rPr>
          <w:rFonts w:cstheme="minorHAnsi"/>
          <w:sz w:val="24"/>
          <w:szCs w:val="24"/>
        </w:rPr>
        <w:t xml:space="preserve"> rubric) showing categorical grades alongside one that shows </w:t>
      </w:r>
      <w:r w:rsidRPr="00563EE5">
        <w:rPr>
          <w:rFonts w:cstheme="minorHAnsi"/>
          <w:b/>
          <w:sz w:val="24"/>
          <w:szCs w:val="24"/>
        </w:rPr>
        <w:t xml:space="preserve">module / task / subject specific outcomes and assessment criteria </w:t>
      </w:r>
      <w:r w:rsidRPr="00563EE5">
        <w:rPr>
          <w:rFonts w:cstheme="minorHAnsi"/>
          <w:sz w:val="24"/>
          <w:szCs w:val="24"/>
        </w:rPr>
        <w:t>is fine. Using two rubrics shouldn't cause confusion - the UGD can be used to 'fine tune' the marking from the subject specific rubric, and this can be made clear to students (see examples in the appendix). The UGD could be published on a course organisation page and linked to from each module page to avoid repetition.</w:t>
      </w:r>
    </w:p>
    <w:p w14:paraId="14B9D05B" w14:textId="77777777" w:rsidR="00C468AD" w:rsidRPr="00B62413" w:rsidRDefault="00C468AD" w:rsidP="00C468AD">
      <w:pPr>
        <w:pStyle w:val="Heading2"/>
      </w:pPr>
      <w:bookmarkStart w:id="17" w:name="_Toc128659986"/>
      <w:r w:rsidRPr="00B62413">
        <w:t xml:space="preserve">Is the aim to remove module specific rubrics </w:t>
      </w:r>
      <w:r>
        <w:t>(</w:t>
      </w:r>
      <w:r w:rsidRPr="00B62413">
        <w:t>with module learning outcomes and related assessment criteria</w:t>
      </w:r>
      <w:r>
        <w:t>)</w:t>
      </w:r>
      <w:r w:rsidRPr="00B62413">
        <w:t xml:space="preserve"> and replace with the generic UGD?</w:t>
      </w:r>
      <w:bookmarkEnd w:id="17"/>
    </w:p>
    <w:p w14:paraId="377B02A2" w14:textId="77777777" w:rsidR="00C468AD" w:rsidRPr="00E2497E" w:rsidRDefault="00C468AD" w:rsidP="00C468AD">
      <w:pPr>
        <w:rPr>
          <w:sz w:val="24"/>
          <w:szCs w:val="24"/>
        </w:rPr>
      </w:pPr>
      <w:r w:rsidRPr="00E2497E">
        <w:rPr>
          <w:sz w:val="24"/>
          <w:szCs w:val="24"/>
        </w:rPr>
        <w:t xml:space="preserve">No. Module learning outcomes and specific assessment criteria can be incredibly helpful to provide students with subject / context specific assessment information. The UGD can be used alongside these. Module specific rubrics should be designed using the generic level descriptors to ensure consistency.  </w:t>
      </w:r>
    </w:p>
    <w:p w14:paraId="0520D6F3" w14:textId="77777777" w:rsidR="00C468AD" w:rsidRPr="00563EE5" w:rsidRDefault="00C468AD" w:rsidP="00C468AD">
      <w:pPr>
        <w:pStyle w:val="Heading2"/>
      </w:pPr>
      <w:bookmarkStart w:id="18" w:name="_Toc128659987"/>
      <w:r>
        <w:t>What are the</w:t>
      </w:r>
      <w:r w:rsidRPr="00563EE5">
        <w:t xml:space="preserve"> differences between franchised </w:t>
      </w:r>
      <w:r>
        <w:t xml:space="preserve">collaborative </w:t>
      </w:r>
      <w:r w:rsidRPr="00563EE5">
        <w:t>provision and ‘validated-only’ provision?</w:t>
      </w:r>
      <w:bookmarkEnd w:id="18"/>
    </w:p>
    <w:p w14:paraId="57E2D070" w14:textId="6A53FF6C" w:rsidR="00C468AD" w:rsidRDefault="00C468AD" w:rsidP="00C468AD">
      <w:pPr>
        <w:spacing w:after="0" w:line="240" w:lineRule="auto"/>
        <w:rPr>
          <w:rFonts w:cstheme="minorHAnsi"/>
          <w:sz w:val="24"/>
          <w:szCs w:val="24"/>
        </w:rPr>
      </w:pPr>
      <w:r w:rsidRPr="00563EE5">
        <w:rPr>
          <w:rFonts w:cstheme="minorHAnsi"/>
          <w:sz w:val="24"/>
          <w:szCs w:val="24"/>
        </w:rPr>
        <w:t xml:space="preserve">Categorical marking / grading is not a mandatory requirement for EXVAL partners as it is policy/practice initiative rather than a regulatory requirement. We should however be supporting our franchised partners to adopt it as good practice. So far, its implementation has been inconsistent across partners not least due to the Covid-19 pandemic. </w:t>
      </w:r>
    </w:p>
    <w:p w14:paraId="31C24D0B" w14:textId="77777777" w:rsidR="00EA1364" w:rsidRDefault="00EA1364" w:rsidP="00C468AD">
      <w:pPr>
        <w:spacing w:after="0" w:line="240" w:lineRule="auto"/>
        <w:rPr>
          <w:rFonts w:cstheme="minorHAnsi"/>
          <w:sz w:val="24"/>
          <w:szCs w:val="24"/>
        </w:rPr>
      </w:pPr>
    </w:p>
    <w:p w14:paraId="0E143705" w14:textId="20EF494A" w:rsidR="00EA1364" w:rsidRPr="00563EE5" w:rsidRDefault="00EA1364" w:rsidP="00C468AD">
      <w:pPr>
        <w:spacing w:after="0" w:line="240" w:lineRule="auto"/>
        <w:rPr>
          <w:rFonts w:cstheme="minorHAnsi"/>
          <w:sz w:val="24"/>
          <w:szCs w:val="24"/>
        </w:rPr>
      </w:pPr>
      <w:r>
        <w:rPr>
          <w:rFonts w:cstheme="minorHAnsi"/>
          <w:sz w:val="24"/>
          <w:szCs w:val="24"/>
        </w:rPr>
        <w:t>As we are sticking to percentages only in the refined UGD3, all partners should be able to work with this</w:t>
      </w:r>
      <w:r w:rsidR="00FF168A">
        <w:rPr>
          <w:rFonts w:cstheme="minorHAnsi"/>
          <w:sz w:val="24"/>
          <w:szCs w:val="24"/>
        </w:rPr>
        <w:t>.</w:t>
      </w:r>
    </w:p>
    <w:p w14:paraId="33634050" w14:textId="77777777" w:rsidR="00C468AD" w:rsidRPr="00563EE5" w:rsidRDefault="00C468AD" w:rsidP="00C468AD">
      <w:pPr>
        <w:pStyle w:val="Heading2"/>
      </w:pPr>
      <w:bookmarkStart w:id="19" w:name="_Toc128659988"/>
      <w:r w:rsidRPr="00563EE5">
        <w:t xml:space="preserve">Is the </w:t>
      </w:r>
      <w:r>
        <w:t>UGD</w:t>
      </w:r>
      <w:r w:rsidRPr="00563EE5">
        <w:t xml:space="preserve"> meant to be used at individual assessment level?</w:t>
      </w:r>
      <w:bookmarkEnd w:id="19"/>
    </w:p>
    <w:p w14:paraId="01A71EEC" w14:textId="77777777" w:rsidR="00C468AD" w:rsidRPr="00563EE5" w:rsidRDefault="00C468AD" w:rsidP="00C468AD">
      <w:pPr>
        <w:spacing w:after="0" w:line="240" w:lineRule="auto"/>
        <w:rPr>
          <w:rFonts w:cstheme="minorHAnsi"/>
          <w:sz w:val="24"/>
          <w:szCs w:val="24"/>
        </w:rPr>
      </w:pPr>
      <w:r w:rsidRPr="00563EE5">
        <w:rPr>
          <w:rFonts w:cstheme="minorHAnsi"/>
          <w:sz w:val="24"/>
          <w:szCs w:val="24"/>
        </w:rPr>
        <w:t>The scale is meant to enhance consistency at the task level. It’s applied at</w:t>
      </w:r>
      <w:r w:rsidRPr="00563EE5">
        <w:rPr>
          <w:rFonts w:cstheme="minorHAnsi"/>
          <w:b/>
          <w:sz w:val="24"/>
          <w:szCs w:val="24"/>
        </w:rPr>
        <w:t xml:space="preserve"> task level</w:t>
      </w:r>
      <w:r w:rsidRPr="00563EE5">
        <w:rPr>
          <w:rFonts w:cstheme="minorHAnsi"/>
          <w:sz w:val="24"/>
          <w:szCs w:val="24"/>
        </w:rPr>
        <w:t xml:space="preserve"> – but doesn’t </w:t>
      </w:r>
      <w:r>
        <w:rPr>
          <w:rFonts w:cstheme="minorHAnsi"/>
          <w:sz w:val="24"/>
          <w:szCs w:val="24"/>
        </w:rPr>
        <w:t xml:space="preserve">necessarily </w:t>
      </w:r>
      <w:r w:rsidRPr="00563EE5">
        <w:rPr>
          <w:rFonts w:cstheme="minorHAnsi"/>
          <w:sz w:val="24"/>
          <w:szCs w:val="24"/>
        </w:rPr>
        <w:t xml:space="preserve">need to be published against every individual task. It could be published in the module or course guide for example, or on the course organisation site under Assessment. </w:t>
      </w:r>
      <w:r w:rsidRPr="00BA35F1">
        <w:rPr>
          <w:rFonts w:cstheme="minorHAnsi"/>
          <w:b/>
          <w:bCs/>
          <w:sz w:val="24"/>
          <w:szCs w:val="24"/>
        </w:rPr>
        <w:t>The overall module mark may not fall into the UGD categories</w:t>
      </w:r>
      <w:r w:rsidRPr="00563EE5">
        <w:rPr>
          <w:rFonts w:cstheme="minorHAnsi"/>
          <w:sz w:val="24"/>
          <w:szCs w:val="24"/>
        </w:rPr>
        <w:t xml:space="preserve">, which is fine.  </w:t>
      </w:r>
    </w:p>
    <w:p w14:paraId="0359FFC2" w14:textId="77777777" w:rsidR="00C468AD" w:rsidRPr="00563EE5" w:rsidRDefault="00C468AD" w:rsidP="00C468AD">
      <w:pPr>
        <w:spacing w:after="0" w:line="240" w:lineRule="auto"/>
        <w:rPr>
          <w:rFonts w:cstheme="minorHAnsi"/>
          <w:sz w:val="24"/>
          <w:szCs w:val="24"/>
        </w:rPr>
      </w:pPr>
    </w:p>
    <w:p w14:paraId="2EB5558C" w14:textId="70164F3A" w:rsidR="00C468AD" w:rsidRPr="00563EE5" w:rsidRDefault="00C468AD" w:rsidP="00C468AD">
      <w:pPr>
        <w:spacing w:after="0" w:line="240" w:lineRule="auto"/>
        <w:rPr>
          <w:rFonts w:cstheme="minorHAnsi"/>
          <w:b/>
          <w:bCs/>
          <w:sz w:val="24"/>
          <w:szCs w:val="24"/>
        </w:rPr>
      </w:pPr>
      <w:bookmarkStart w:id="20" w:name="_Toc128659989"/>
      <w:bookmarkStart w:id="21" w:name="_Toc7610448"/>
      <w:r w:rsidRPr="009B04F8">
        <w:rPr>
          <w:rStyle w:val="Heading2Char"/>
        </w:rPr>
        <w:lastRenderedPageBreak/>
        <w:t>How should the UGD be used for task components, for example sections of an exam, or parts A and B of an assessment task?</w:t>
      </w:r>
      <w:bookmarkEnd w:id="20"/>
      <w:r w:rsidRPr="00563EE5">
        <w:rPr>
          <w:rFonts w:cstheme="minorHAnsi"/>
          <w:sz w:val="24"/>
          <w:szCs w:val="24"/>
        </w:rPr>
        <w:br/>
        <w:t xml:space="preserve">The UGD should be applied at </w:t>
      </w:r>
      <w:r w:rsidRPr="00563EE5">
        <w:rPr>
          <w:rFonts w:cstheme="minorHAnsi"/>
          <w:b/>
          <w:bCs/>
          <w:sz w:val="24"/>
          <w:szCs w:val="24"/>
        </w:rPr>
        <w:t xml:space="preserve">overall task level </w:t>
      </w:r>
      <w:r w:rsidRPr="00563EE5">
        <w:rPr>
          <w:rFonts w:cstheme="minorHAnsi"/>
          <w:sz w:val="24"/>
          <w:szCs w:val="24"/>
        </w:rPr>
        <w:t>i.e. only the final task mark is subject to categorical marking and subject areas should decide how to design their assessments to enable the UGD to be used in this way. If your current practice is to indicate a grade for individual parts of an assessment that comprise the overall task, the UGD can also be used to allocate these grades. These individual grades can then be combined into the final overall task grade that is submitted to an assessment board (as in the example above for numerical disciplines).</w:t>
      </w:r>
      <w:r w:rsidRPr="00563EE5">
        <w:rPr>
          <w:rFonts w:cstheme="minorHAnsi"/>
          <w:sz w:val="24"/>
          <w:szCs w:val="24"/>
        </w:rPr>
        <w:br/>
      </w:r>
    </w:p>
    <w:p w14:paraId="7D9FB74D" w14:textId="6CFF6E0A" w:rsidR="00C468AD" w:rsidRDefault="00C468AD" w:rsidP="00C468AD">
      <w:pPr>
        <w:spacing w:after="0" w:line="240" w:lineRule="auto"/>
        <w:rPr>
          <w:rFonts w:cstheme="minorHAnsi"/>
          <w:sz w:val="24"/>
          <w:szCs w:val="24"/>
        </w:rPr>
      </w:pPr>
      <w:bookmarkStart w:id="22" w:name="_Toc128659990"/>
      <w:r w:rsidRPr="00410428">
        <w:rPr>
          <w:rStyle w:val="Heading2Char"/>
        </w:rPr>
        <w:t>It’s possible to get 100% in my assessment task. Should I use the UGD?</w:t>
      </w:r>
      <w:bookmarkEnd w:id="22"/>
      <w:r w:rsidRPr="00563EE5">
        <w:rPr>
          <w:rFonts w:cstheme="minorHAnsi"/>
          <w:b/>
          <w:bCs/>
          <w:sz w:val="24"/>
          <w:szCs w:val="24"/>
        </w:rPr>
        <w:br/>
      </w:r>
      <w:r w:rsidRPr="00563EE5">
        <w:rPr>
          <w:rFonts w:cstheme="minorHAnsi"/>
          <w:sz w:val="24"/>
          <w:szCs w:val="24"/>
        </w:rPr>
        <w:t>Yes. This should be marked as exceptional 1</w:t>
      </w:r>
      <w:r w:rsidRPr="00563EE5">
        <w:rPr>
          <w:rFonts w:cstheme="minorHAnsi"/>
          <w:sz w:val="24"/>
          <w:szCs w:val="24"/>
          <w:vertAlign w:val="superscript"/>
        </w:rPr>
        <w:t>st</w:t>
      </w:r>
      <w:r w:rsidRPr="00563EE5">
        <w:rPr>
          <w:rFonts w:cstheme="minorHAnsi"/>
          <w:sz w:val="24"/>
          <w:szCs w:val="24"/>
        </w:rPr>
        <w:t xml:space="preserve"> (equivalent to </w:t>
      </w:r>
      <w:r>
        <w:rPr>
          <w:rFonts w:cstheme="minorHAnsi"/>
          <w:sz w:val="24"/>
          <w:szCs w:val="24"/>
        </w:rPr>
        <w:t>96</w:t>
      </w:r>
      <w:r w:rsidRPr="00563EE5">
        <w:rPr>
          <w:rFonts w:cstheme="minorHAnsi"/>
          <w:sz w:val="24"/>
          <w:szCs w:val="24"/>
        </w:rPr>
        <w:t xml:space="preserve">% for reasons explained above). </w:t>
      </w:r>
    </w:p>
    <w:p w14:paraId="14E7A540" w14:textId="77777777" w:rsidR="006D69D8" w:rsidRPr="00563EE5" w:rsidRDefault="006D69D8" w:rsidP="00C468AD">
      <w:pPr>
        <w:spacing w:after="0" w:line="240" w:lineRule="auto"/>
        <w:rPr>
          <w:rFonts w:cstheme="minorHAnsi"/>
          <w:b/>
          <w:bCs/>
          <w:sz w:val="24"/>
          <w:szCs w:val="24"/>
        </w:rPr>
      </w:pPr>
    </w:p>
    <w:p w14:paraId="734804E9" w14:textId="77777777" w:rsidR="00C468AD" w:rsidRDefault="00C468AD" w:rsidP="00C468AD">
      <w:pPr>
        <w:pStyle w:val="Heading2"/>
      </w:pPr>
      <w:bookmarkStart w:id="23" w:name="_Toc128659991"/>
      <w:r>
        <w:t>What about pass/fail tasks / modules?</w:t>
      </w:r>
      <w:bookmarkEnd w:id="23"/>
      <w:r>
        <w:t xml:space="preserve"> </w:t>
      </w:r>
    </w:p>
    <w:p w14:paraId="2CF15183" w14:textId="77777777" w:rsidR="00C468AD" w:rsidRPr="00563EE5" w:rsidRDefault="00C468AD" w:rsidP="00C468AD">
      <w:pPr>
        <w:spacing w:after="0" w:line="240" w:lineRule="auto"/>
        <w:rPr>
          <w:rFonts w:cstheme="minorHAnsi"/>
          <w:sz w:val="24"/>
          <w:szCs w:val="24"/>
        </w:rPr>
      </w:pPr>
      <w:r>
        <w:rPr>
          <w:rFonts w:cstheme="minorHAnsi"/>
          <w:sz w:val="24"/>
          <w:szCs w:val="24"/>
        </w:rPr>
        <w:t>Use</w:t>
      </w:r>
      <w:r w:rsidRPr="00563EE5">
        <w:rPr>
          <w:rFonts w:cstheme="minorHAnsi"/>
          <w:sz w:val="24"/>
          <w:szCs w:val="24"/>
        </w:rPr>
        <w:t xml:space="preserve"> the revised UGD to provide indicative grades to students so that they are acclimatised to how their work will be assessed later </w:t>
      </w:r>
      <w:r>
        <w:rPr>
          <w:rFonts w:cstheme="minorHAnsi"/>
          <w:sz w:val="24"/>
          <w:szCs w:val="24"/>
        </w:rPr>
        <w:t xml:space="preserve">on </w:t>
      </w:r>
      <w:r w:rsidRPr="00563EE5">
        <w:rPr>
          <w:rFonts w:cstheme="minorHAnsi"/>
          <w:sz w:val="24"/>
          <w:szCs w:val="24"/>
        </w:rPr>
        <w:t xml:space="preserve">their course, and because </w:t>
      </w:r>
      <w:r>
        <w:rPr>
          <w:rFonts w:cstheme="minorHAnsi"/>
          <w:sz w:val="24"/>
          <w:szCs w:val="24"/>
        </w:rPr>
        <w:t xml:space="preserve">it is beneficial for </w:t>
      </w:r>
      <w:r w:rsidRPr="00563EE5">
        <w:rPr>
          <w:rFonts w:cstheme="minorHAnsi"/>
          <w:sz w:val="24"/>
          <w:szCs w:val="24"/>
        </w:rPr>
        <w:t xml:space="preserve">students to know ‘how they have done’. </w:t>
      </w:r>
    </w:p>
    <w:p w14:paraId="40D0D399" w14:textId="77777777" w:rsidR="00C468AD" w:rsidRPr="00563EE5" w:rsidRDefault="00C468AD" w:rsidP="00C468AD">
      <w:pPr>
        <w:spacing w:after="0" w:line="240" w:lineRule="auto"/>
        <w:rPr>
          <w:rFonts w:cstheme="minorHAnsi"/>
          <w:b/>
          <w:bCs/>
          <w:sz w:val="24"/>
          <w:szCs w:val="24"/>
        </w:rPr>
      </w:pPr>
    </w:p>
    <w:p w14:paraId="26527996" w14:textId="2A8D9236" w:rsidR="00C468AD" w:rsidRPr="00563EE5" w:rsidRDefault="00C468AD" w:rsidP="00C468AD">
      <w:pPr>
        <w:spacing w:after="0" w:line="240" w:lineRule="auto"/>
        <w:rPr>
          <w:rFonts w:cstheme="minorHAnsi"/>
          <w:sz w:val="24"/>
          <w:szCs w:val="24"/>
        </w:rPr>
      </w:pPr>
      <w:bookmarkStart w:id="24" w:name="_Toc128659992"/>
      <w:r w:rsidRPr="00DA7E27">
        <w:rPr>
          <w:rStyle w:val="Heading2Char"/>
        </w:rPr>
        <w:t>Some modules have two tasks; module grades might end up not being on these categorical points?</w:t>
      </w:r>
      <w:bookmarkEnd w:id="24"/>
      <w:r w:rsidRPr="00DA7E27">
        <w:rPr>
          <w:rStyle w:val="Heading2Char"/>
        </w:rPr>
        <w:br/>
      </w:r>
      <w:r>
        <w:rPr>
          <w:rFonts w:cstheme="minorHAnsi"/>
          <w:sz w:val="24"/>
          <w:szCs w:val="24"/>
        </w:rPr>
        <w:t>The</w:t>
      </w:r>
      <w:r w:rsidRPr="00563EE5">
        <w:rPr>
          <w:rFonts w:cstheme="minorHAnsi"/>
          <w:sz w:val="24"/>
          <w:szCs w:val="24"/>
        </w:rPr>
        <w:t xml:space="preserve"> primary purpose is to encourage consistency and coherence at task level, as well as avoid skewing in classification outcomes – the overall module mark is less important. </w:t>
      </w:r>
    </w:p>
    <w:p w14:paraId="450F43A3" w14:textId="6222389A" w:rsidR="00C468AD" w:rsidRPr="00563EE5" w:rsidRDefault="00C468AD" w:rsidP="00C468AD">
      <w:pPr>
        <w:spacing w:after="0" w:line="240" w:lineRule="auto"/>
        <w:rPr>
          <w:rFonts w:cstheme="minorHAnsi"/>
          <w:sz w:val="24"/>
          <w:szCs w:val="24"/>
        </w:rPr>
      </w:pPr>
      <w:r w:rsidRPr="00563EE5">
        <w:rPr>
          <w:rFonts w:cstheme="minorHAnsi"/>
          <w:b/>
          <w:bCs/>
          <w:sz w:val="24"/>
          <w:szCs w:val="24"/>
        </w:rPr>
        <w:br/>
      </w:r>
      <w:bookmarkStart w:id="25" w:name="_Toc128659993"/>
      <w:r w:rsidRPr="00DA7E27">
        <w:rPr>
          <w:rStyle w:val="Heading2Char"/>
        </w:rPr>
        <w:t>What about capped marks?</w:t>
      </w:r>
      <w:bookmarkEnd w:id="25"/>
      <w:r w:rsidRPr="00563EE5">
        <w:rPr>
          <w:rFonts w:cstheme="minorHAnsi"/>
          <w:b/>
          <w:bCs/>
          <w:sz w:val="24"/>
          <w:szCs w:val="24"/>
        </w:rPr>
        <w:br/>
      </w:r>
      <w:r w:rsidRPr="00563EE5">
        <w:rPr>
          <w:rFonts w:cstheme="minorHAnsi"/>
          <w:sz w:val="24"/>
          <w:szCs w:val="24"/>
        </w:rPr>
        <w:t xml:space="preserve">The </w:t>
      </w:r>
      <w:r w:rsidR="003A27C7">
        <w:rPr>
          <w:rFonts w:cstheme="minorHAnsi"/>
          <w:sz w:val="24"/>
          <w:szCs w:val="24"/>
        </w:rPr>
        <w:t xml:space="preserve">Revised </w:t>
      </w:r>
      <w:r w:rsidRPr="00563EE5">
        <w:rPr>
          <w:rFonts w:cstheme="minorHAnsi"/>
          <w:sz w:val="24"/>
          <w:szCs w:val="24"/>
        </w:rPr>
        <w:t>UGD</w:t>
      </w:r>
      <w:r w:rsidR="003A27C7">
        <w:rPr>
          <w:rFonts w:cstheme="minorHAnsi"/>
          <w:sz w:val="24"/>
          <w:szCs w:val="24"/>
        </w:rPr>
        <w:t>3</w:t>
      </w:r>
      <w:r w:rsidRPr="00563EE5">
        <w:rPr>
          <w:rFonts w:cstheme="minorHAnsi"/>
          <w:sz w:val="24"/>
          <w:szCs w:val="24"/>
        </w:rPr>
        <w:t xml:space="preserve"> </w:t>
      </w:r>
      <w:r>
        <w:rPr>
          <w:rFonts w:cstheme="minorHAnsi"/>
          <w:sz w:val="24"/>
          <w:szCs w:val="24"/>
        </w:rPr>
        <w:t xml:space="preserve">incorporates 40% and 50% as part of the equivalent percentage categories, to allow alignment with capped marks. </w:t>
      </w:r>
    </w:p>
    <w:p w14:paraId="75A29D60" w14:textId="77777777" w:rsidR="00C468AD" w:rsidRPr="00563EE5" w:rsidRDefault="00C468AD" w:rsidP="00C468AD">
      <w:pPr>
        <w:spacing w:after="0" w:line="240" w:lineRule="auto"/>
        <w:rPr>
          <w:rFonts w:cstheme="minorHAnsi"/>
          <w:b/>
          <w:bCs/>
          <w:sz w:val="24"/>
          <w:szCs w:val="24"/>
        </w:rPr>
      </w:pPr>
    </w:p>
    <w:p w14:paraId="7A7C71EB" w14:textId="0BCC572F" w:rsidR="00C468AD" w:rsidRPr="00563EE5" w:rsidRDefault="00C468AD" w:rsidP="00C468AD">
      <w:pPr>
        <w:spacing w:after="0" w:line="240" w:lineRule="auto"/>
        <w:rPr>
          <w:rFonts w:cstheme="minorHAnsi"/>
          <w:sz w:val="24"/>
          <w:szCs w:val="24"/>
        </w:rPr>
      </w:pPr>
      <w:bookmarkStart w:id="26" w:name="_Toc128659994"/>
      <w:r w:rsidRPr="00DA7E27">
        <w:rPr>
          <w:rStyle w:val="Heading2Char"/>
        </w:rPr>
        <w:t>What about trailing students?</w:t>
      </w:r>
      <w:bookmarkEnd w:id="26"/>
      <w:r w:rsidRPr="00563EE5">
        <w:rPr>
          <w:rFonts w:cstheme="minorHAnsi"/>
          <w:sz w:val="24"/>
          <w:szCs w:val="24"/>
        </w:rPr>
        <w:br/>
      </w:r>
      <w:r w:rsidR="00FA11A0">
        <w:rPr>
          <w:rFonts w:cstheme="minorHAnsi"/>
          <w:sz w:val="24"/>
          <w:szCs w:val="24"/>
        </w:rPr>
        <w:t>As UGD3 is more beneficial to students than previous versions, please use this refined version wherever possible.</w:t>
      </w:r>
    </w:p>
    <w:p w14:paraId="132B42EE" w14:textId="77777777" w:rsidR="00C468AD" w:rsidRPr="00563EE5" w:rsidRDefault="00C468AD" w:rsidP="00C468AD">
      <w:pPr>
        <w:spacing w:after="0" w:line="240" w:lineRule="auto"/>
        <w:rPr>
          <w:rFonts w:cstheme="minorHAnsi"/>
          <w:b/>
          <w:bCs/>
          <w:sz w:val="24"/>
          <w:szCs w:val="24"/>
        </w:rPr>
      </w:pPr>
    </w:p>
    <w:p w14:paraId="6310B191" w14:textId="77777777" w:rsidR="00C468AD" w:rsidRPr="00563EE5" w:rsidRDefault="00C468AD" w:rsidP="00C468AD">
      <w:pPr>
        <w:spacing w:after="0" w:line="240" w:lineRule="auto"/>
        <w:rPr>
          <w:rFonts w:cstheme="minorHAnsi"/>
          <w:b/>
          <w:bCs/>
          <w:sz w:val="24"/>
          <w:szCs w:val="24"/>
        </w:rPr>
      </w:pPr>
    </w:p>
    <w:p w14:paraId="2BC0EA1C" w14:textId="4C4522B4" w:rsidR="00C468AD" w:rsidRPr="00563EE5" w:rsidRDefault="00C468AD" w:rsidP="00C468AD">
      <w:pPr>
        <w:pStyle w:val="Heading2"/>
      </w:pPr>
      <w:bookmarkStart w:id="27" w:name="_Toc128659998"/>
      <w:r>
        <w:t>A</w:t>
      </w:r>
      <w:r w:rsidRPr="00563EE5">
        <w:t>dvice regarding applying student peer assessment using UGD? What about assessments that have a group and individual element?</w:t>
      </w:r>
      <w:bookmarkEnd w:id="27"/>
    </w:p>
    <w:p w14:paraId="22E20E50" w14:textId="77777777" w:rsidR="00C468AD" w:rsidRPr="00563EE5" w:rsidRDefault="00C468AD" w:rsidP="00C468AD">
      <w:pPr>
        <w:spacing w:after="0" w:line="240" w:lineRule="auto"/>
        <w:rPr>
          <w:rFonts w:cstheme="minorHAnsi"/>
          <w:sz w:val="24"/>
          <w:szCs w:val="24"/>
        </w:rPr>
      </w:pPr>
      <w:r w:rsidRPr="00563EE5">
        <w:rPr>
          <w:rFonts w:cstheme="minorHAnsi"/>
          <w:sz w:val="24"/>
          <w:szCs w:val="24"/>
        </w:rPr>
        <w:t xml:space="preserve">It’s not necessary to use the UGD for peer assessment activities (as in, students using the UGD to assess each other). There are simpler ways to engage students in peer assessment. For assessments that have a group and individual element, bear in mind the overall aim of the UGD is to promote consistency at task level in marking and moderation, and of the revised UGD to address the ‘skewing effect’ of the upper and lower end of the scale. If the final % mark that a student gets for a module (due to a combination of marks) is not a UGD category, this is ok. If you </w:t>
      </w:r>
      <w:r w:rsidRPr="00563EE5">
        <w:rPr>
          <w:rFonts w:cstheme="minorHAnsi"/>
          <w:sz w:val="24"/>
          <w:szCs w:val="24"/>
        </w:rPr>
        <w:lastRenderedPageBreak/>
        <w:t xml:space="preserve">have systems whereby peer assessment contributes a given % to a student mark (or can increase or decrease another student’s individual mark) then it may be simpler to adopt alternative methods – one method is to make the group task pass/fail with peer assessment as a mandatory component but not one that impacts a grade. Another is to indicate that the peer assessment can contribute to the final grade with the tutor retaining overall judgment – e.g. ‘your individual grade may be increased or decreased as a result of the assessment of your peers and evidence of your contribution to the group’. This way, the tutor can choose the most appropriate UGD category and is not restricted to a specific % increase / decrease as a result of peer assessment. More examples of approaches to the marking of group work are available, </w:t>
      </w:r>
      <w:hyperlink r:id="rId23" w:history="1">
        <w:r w:rsidRPr="00563EE5">
          <w:rPr>
            <w:rStyle w:val="Hyperlink"/>
            <w:rFonts w:cstheme="minorHAnsi"/>
            <w:sz w:val="24"/>
            <w:szCs w:val="24"/>
          </w:rPr>
          <w:t>her</w:t>
        </w:r>
        <w:r>
          <w:rPr>
            <w:rStyle w:val="Hyperlink"/>
            <w:rFonts w:cstheme="minorHAnsi"/>
            <w:sz w:val="24"/>
            <w:szCs w:val="24"/>
          </w:rPr>
          <w:t>e are some examples</w:t>
        </w:r>
      </w:hyperlink>
      <w:r w:rsidRPr="00563EE5">
        <w:rPr>
          <w:rFonts w:cstheme="minorHAnsi"/>
          <w:sz w:val="24"/>
          <w:szCs w:val="24"/>
        </w:rPr>
        <w:t xml:space="preserve">. </w:t>
      </w:r>
    </w:p>
    <w:p w14:paraId="554BDA3E" w14:textId="77777777" w:rsidR="00C468AD" w:rsidRPr="00563EE5" w:rsidRDefault="00C468AD" w:rsidP="00C468AD">
      <w:pPr>
        <w:spacing w:after="0" w:line="240" w:lineRule="auto"/>
        <w:rPr>
          <w:rFonts w:cstheme="minorHAnsi"/>
          <w:b/>
          <w:bCs/>
          <w:sz w:val="24"/>
          <w:szCs w:val="24"/>
        </w:rPr>
      </w:pPr>
    </w:p>
    <w:p w14:paraId="15902D69" w14:textId="77777777" w:rsidR="00C468AD" w:rsidRPr="00563EE5" w:rsidRDefault="00C468AD" w:rsidP="00C468AD">
      <w:pPr>
        <w:spacing w:after="0" w:line="240" w:lineRule="auto"/>
        <w:rPr>
          <w:rFonts w:cstheme="minorHAnsi"/>
          <w:b/>
          <w:bCs/>
          <w:sz w:val="24"/>
          <w:szCs w:val="24"/>
        </w:rPr>
      </w:pPr>
    </w:p>
    <w:p w14:paraId="572AD728" w14:textId="5512410F" w:rsidR="00C468AD" w:rsidRPr="00563EE5" w:rsidRDefault="00C468AD" w:rsidP="00C468AD">
      <w:pPr>
        <w:spacing w:after="0" w:line="240" w:lineRule="auto"/>
        <w:rPr>
          <w:rFonts w:cstheme="minorHAnsi"/>
          <w:sz w:val="24"/>
          <w:szCs w:val="24"/>
        </w:rPr>
      </w:pPr>
      <w:bookmarkStart w:id="28" w:name="_Toc128660001"/>
      <w:r w:rsidRPr="00BB00F5">
        <w:rPr>
          <w:rStyle w:val="Heading2Char"/>
        </w:rPr>
        <w:t>If summative module marks are not on the categorical scale is that ok?</w:t>
      </w:r>
      <w:bookmarkEnd w:id="28"/>
      <w:r w:rsidRPr="00563EE5">
        <w:rPr>
          <w:rFonts w:cstheme="minorHAnsi"/>
          <w:sz w:val="24"/>
          <w:szCs w:val="24"/>
        </w:rPr>
        <w:t xml:space="preserve"> </w:t>
      </w:r>
      <w:r w:rsidRPr="00563EE5">
        <w:rPr>
          <w:rFonts w:cstheme="minorHAnsi"/>
          <w:sz w:val="24"/>
          <w:szCs w:val="24"/>
        </w:rPr>
        <w:br/>
        <w:t xml:space="preserve">Yes, that’s fine. </w:t>
      </w:r>
    </w:p>
    <w:p w14:paraId="218CF459" w14:textId="77777777" w:rsidR="00C468AD" w:rsidRPr="00563EE5" w:rsidRDefault="00C468AD" w:rsidP="00C468AD">
      <w:pPr>
        <w:spacing w:after="0" w:line="240" w:lineRule="auto"/>
        <w:rPr>
          <w:rFonts w:cstheme="minorHAnsi"/>
          <w:b/>
          <w:bCs/>
          <w:sz w:val="24"/>
          <w:szCs w:val="24"/>
        </w:rPr>
      </w:pPr>
    </w:p>
    <w:p w14:paraId="6433C48B" w14:textId="77777777" w:rsidR="0098061A" w:rsidRDefault="0098061A" w:rsidP="00C468AD">
      <w:pPr>
        <w:spacing w:after="0" w:line="240" w:lineRule="auto"/>
        <w:rPr>
          <w:rFonts w:cstheme="minorHAnsi"/>
          <w:sz w:val="24"/>
          <w:szCs w:val="24"/>
        </w:rPr>
      </w:pPr>
    </w:p>
    <w:p w14:paraId="13DD280E" w14:textId="77777777" w:rsidR="00C468AD" w:rsidRDefault="00C468AD" w:rsidP="00C468AD">
      <w:pPr>
        <w:pStyle w:val="Heading2"/>
      </w:pPr>
      <w:bookmarkStart w:id="29" w:name="_Toc128660004"/>
      <w:r>
        <w:t>Can I use a weighted total in Blackboard to help students calculate a final provisional module mark?</w:t>
      </w:r>
      <w:bookmarkEnd w:id="29"/>
    </w:p>
    <w:p w14:paraId="26566DBD" w14:textId="515486A6" w:rsidR="00C468AD" w:rsidRDefault="00C468AD" w:rsidP="00C468AD">
      <w:pPr>
        <w:spacing w:line="240" w:lineRule="auto"/>
        <w:rPr>
          <w:rFonts w:cstheme="minorHAnsi"/>
          <w:sz w:val="24"/>
          <w:szCs w:val="24"/>
        </w:rPr>
      </w:pPr>
      <w:r>
        <w:rPr>
          <w:sz w:val="24"/>
          <w:szCs w:val="24"/>
        </w:rPr>
        <w:t xml:space="preserve">The use of weighted totals for final provisional marks has always been challenging as rounding works differently in Blackboard to SITS. </w:t>
      </w:r>
      <w:r w:rsidR="00460D62">
        <w:rPr>
          <w:sz w:val="24"/>
          <w:szCs w:val="24"/>
        </w:rPr>
        <w:t>As long as students are told that all grades they see are provisional</w:t>
      </w:r>
      <w:r w:rsidR="006C4DFD">
        <w:rPr>
          <w:sz w:val="24"/>
          <w:szCs w:val="24"/>
        </w:rPr>
        <w:t xml:space="preserve"> and subject to our normal systems and scrutiny then you may use a weighted total.</w:t>
      </w:r>
    </w:p>
    <w:p w14:paraId="5179CEE1" w14:textId="77777777" w:rsidR="00C468AD" w:rsidRDefault="00C468AD" w:rsidP="00C468AD">
      <w:pPr>
        <w:spacing w:after="0" w:line="240" w:lineRule="auto"/>
        <w:rPr>
          <w:rFonts w:cstheme="minorHAnsi"/>
          <w:sz w:val="24"/>
          <w:szCs w:val="24"/>
        </w:rPr>
      </w:pPr>
    </w:p>
    <w:p w14:paraId="49027E35" w14:textId="77777777" w:rsidR="00C468AD" w:rsidRDefault="00C468AD" w:rsidP="00C468AD">
      <w:pPr>
        <w:rPr>
          <w:rFonts w:eastAsiaTheme="majorEastAsia" w:cstheme="majorBidi"/>
          <w:b/>
          <w:bCs/>
          <w:color w:val="4472C4" w:themeColor="accent1"/>
          <w:sz w:val="24"/>
          <w:szCs w:val="26"/>
          <w:lang w:eastAsia="ja-JP"/>
        </w:rPr>
      </w:pPr>
      <w:r>
        <w:br w:type="page"/>
      </w:r>
    </w:p>
    <w:p w14:paraId="7FB08361" w14:textId="77777777" w:rsidR="00C468AD" w:rsidRDefault="00C468AD" w:rsidP="00C468AD">
      <w:pPr>
        <w:pStyle w:val="Heading2"/>
      </w:pPr>
      <w:bookmarkStart w:id="30" w:name="_Toc128660007"/>
      <w:r w:rsidRPr="00420C5B">
        <w:lastRenderedPageBreak/>
        <w:t>Glossary of key terms</w:t>
      </w:r>
      <w:bookmarkEnd w:id="30"/>
    </w:p>
    <w:p w14:paraId="31AD0F0F" w14:textId="77777777" w:rsidR="00C468AD" w:rsidRDefault="00C468AD" w:rsidP="00C468AD">
      <w:pPr>
        <w:spacing w:after="120" w:line="240" w:lineRule="auto"/>
        <w:rPr>
          <w:rFonts w:ascii="Calibri" w:hAnsi="Calibri"/>
        </w:rPr>
      </w:pPr>
      <w:r>
        <w:br/>
      </w:r>
      <w:r w:rsidRPr="0056455C">
        <w:rPr>
          <w:rFonts w:ascii="Calibri" w:hAnsi="Calibri"/>
          <w:b/>
        </w:rPr>
        <w:t>Aim:</w:t>
      </w:r>
      <w:r>
        <w:rPr>
          <w:rFonts w:ascii="Calibri" w:hAnsi="Calibri"/>
          <w:b/>
        </w:rPr>
        <w:t xml:space="preserve"> </w:t>
      </w:r>
      <w:r w:rsidRPr="00C619AF">
        <w:rPr>
          <w:rFonts w:ascii="Calibri" w:hAnsi="Calibri"/>
        </w:rPr>
        <w:t>Statement of intent for the session / module /course, written from a tutor perspective,</w:t>
      </w:r>
      <w:r w:rsidRPr="0056455C">
        <w:rPr>
          <w:rFonts w:ascii="Calibri" w:hAnsi="Calibri"/>
        </w:rPr>
        <w:t xml:space="preserve"> </w:t>
      </w:r>
      <w:r>
        <w:rPr>
          <w:rFonts w:ascii="Calibri" w:hAnsi="Calibri"/>
        </w:rPr>
        <w:t>e.g.</w:t>
      </w:r>
      <w:r w:rsidRPr="0056455C">
        <w:rPr>
          <w:rFonts w:ascii="Calibri" w:hAnsi="Calibri"/>
        </w:rPr>
        <w:t xml:space="preserve"> </w:t>
      </w:r>
      <w:r w:rsidRPr="001E44D3">
        <w:rPr>
          <w:rFonts w:ascii="Calibri" w:hAnsi="Calibri"/>
          <w:i/>
        </w:rPr>
        <w:t>the module aims to develop knowledge and skills in reverse engineering and</w:t>
      </w:r>
      <w:r w:rsidRPr="0056455C">
        <w:rPr>
          <w:rFonts w:ascii="Calibri" w:hAnsi="Calibri"/>
        </w:rPr>
        <w:t xml:space="preserve"> ….</w:t>
      </w:r>
    </w:p>
    <w:p w14:paraId="57277ECD" w14:textId="77777777" w:rsidR="00C468AD" w:rsidRDefault="00C468AD" w:rsidP="00C468AD">
      <w:pPr>
        <w:spacing w:after="120" w:line="240" w:lineRule="auto"/>
        <w:rPr>
          <w:rFonts w:ascii="Calibri" w:hAnsi="Calibri"/>
        </w:rPr>
      </w:pPr>
      <w:r>
        <w:rPr>
          <w:rFonts w:ascii="Calibri" w:hAnsi="Calibri"/>
          <w:b/>
        </w:rPr>
        <w:t>Learning o</w:t>
      </w:r>
      <w:r w:rsidRPr="0056455C">
        <w:rPr>
          <w:rFonts w:ascii="Calibri" w:hAnsi="Calibri"/>
          <w:b/>
        </w:rPr>
        <w:t>utcome (or learning objective):</w:t>
      </w:r>
      <w:r>
        <w:rPr>
          <w:rFonts w:ascii="Calibri" w:hAnsi="Calibri"/>
          <w:b/>
        </w:rPr>
        <w:t xml:space="preserve"> </w:t>
      </w:r>
      <w:r w:rsidRPr="0056455C">
        <w:rPr>
          <w:rFonts w:ascii="Calibri" w:hAnsi="Calibri"/>
        </w:rPr>
        <w:t xml:space="preserve">Statement of </w:t>
      </w:r>
      <w:r>
        <w:rPr>
          <w:rFonts w:ascii="Calibri" w:hAnsi="Calibri"/>
        </w:rPr>
        <w:t>intent written from the student</w:t>
      </w:r>
      <w:r w:rsidRPr="0056455C">
        <w:rPr>
          <w:rFonts w:ascii="Calibri" w:hAnsi="Calibri"/>
        </w:rPr>
        <w:t xml:space="preserve"> perspecti</w:t>
      </w:r>
      <w:r>
        <w:rPr>
          <w:rFonts w:ascii="Calibri" w:hAnsi="Calibri"/>
        </w:rPr>
        <w:t>ve;</w:t>
      </w:r>
      <w:r w:rsidRPr="0056455C">
        <w:rPr>
          <w:rFonts w:ascii="Calibri" w:hAnsi="Calibri"/>
        </w:rPr>
        <w:t xml:space="preserve"> breaks down the aim into measurable chunks: </w:t>
      </w:r>
      <w:r w:rsidRPr="001E44D3">
        <w:rPr>
          <w:rFonts w:ascii="Calibri" w:hAnsi="Calibri"/>
          <w:i/>
        </w:rPr>
        <w:t>by the end of the session / module / course, the student will be able to…..</w:t>
      </w:r>
    </w:p>
    <w:p w14:paraId="21385BD6" w14:textId="77777777" w:rsidR="00C468AD" w:rsidRDefault="00C468AD" w:rsidP="00C468AD">
      <w:pPr>
        <w:spacing w:after="120" w:line="240" w:lineRule="auto"/>
        <w:rPr>
          <w:rFonts w:ascii="Calibri" w:hAnsi="Calibri"/>
        </w:rPr>
      </w:pPr>
      <w:r w:rsidRPr="0056455C">
        <w:rPr>
          <w:rFonts w:ascii="Calibri" w:hAnsi="Calibri"/>
          <w:b/>
        </w:rPr>
        <w:t>Assessment criteria (or marking criteria):</w:t>
      </w:r>
      <w:r>
        <w:rPr>
          <w:rFonts w:ascii="Calibri" w:hAnsi="Calibri"/>
          <w:b/>
        </w:rPr>
        <w:t xml:space="preserve"> </w:t>
      </w:r>
      <w:r>
        <w:rPr>
          <w:rFonts w:ascii="Calibri" w:hAnsi="Calibri"/>
        </w:rPr>
        <w:t xml:space="preserve">These </w:t>
      </w:r>
      <w:r w:rsidRPr="0056455C">
        <w:rPr>
          <w:rFonts w:ascii="Calibri" w:hAnsi="Calibri"/>
        </w:rPr>
        <w:t>describe what a student needs to evidence in order to achieve the learning outcome at diff</w:t>
      </w:r>
      <w:r>
        <w:rPr>
          <w:rFonts w:ascii="Calibri" w:hAnsi="Calibri"/>
        </w:rPr>
        <w:t>erent grade bands (eg pass, merit, distinction; 3</w:t>
      </w:r>
      <w:r w:rsidRPr="0008472A">
        <w:rPr>
          <w:rFonts w:ascii="Calibri" w:hAnsi="Calibri"/>
          <w:vertAlign w:val="superscript"/>
        </w:rPr>
        <w:t>rd</w:t>
      </w:r>
      <w:r>
        <w:rPr>
          <w:rFonts w:ascii="Calibri" w:hAnsi="Calibri"/>
        </w:rPr>
        <w:t xml:space="preserve">,2.1,2.2,1st). They should relate to the learning outcomes in terms of content. </w:t>
      </w:r>
    </w:p>
    <w:p w14:paraId="0A27E0A9" w14:textId="77777777" w:rsidR="00C468AD" w:rsidRDefault="00C468AD" w:rsidP="00C468AD">
      <w:pPr>
        <w:spacing w:after="120" w:line="240" w:lineRule="auto"/>
        <w:rPr>
          <w:rFonts w:ascii="Calibri" w:hAnsi="Calibri"/>
        </w:rPr>
      </w:pPr>
      <w:r w:rsidRPr="0056455C">
        <w:rPr>
          <w:rFonts w:ascii="Calibri" w:hAnsi="Calibri"/>
          <w:b/>
        </w:rPr>
        <w:t>Pass descriptor:</w:t>
      </w:r>
      <w:r>
        <w:rPr>
          <w:rFonts w:ascii="Calibri" w:hAnsi="Calibri"/>
          <w:b/>
        </w:rPr>
        <w:t xml:space="preserve"> </w:t>
      </w:r>
      <w:r w:rsidRPr="0056455C">
        <w:rPr>
          <w:rFonts w:ascii="Calibri" w:hAnsi="Calibri"/>
        </w:rPr>
        <w:t xml:space="preserve">The set of assessment criteria that reflect the </w:t>
      </w:r>
      <w:r w:rsidRPr="00B652D9">
        <w:rPr>
          <w:rFonts w:ascii="Calibri" w:hAnsi="Calibri"/>
          <w:b/>
        </w:rPr>
        <w:t>threshold</w:t>
      </w:r>
      <w:r w:rsidRPr="0056455C">
        <w:rPr>
          <w:rFonts w:ascii="Calibri" w:hAnsi="Calibri"/>
        </w:rPr>
        <w:t xml:space="preserve"> pass standard</w:t>
      </w:r>
      <w:r>
        <w:rPr>
          <w:rFonts w:ascii="Calibri" w:hAnsi="Calibri"/>
        </w:rPr>
        <w:t xml:space="preserve"> / pass mark</w:t>
      </w:r>
      <w:r w:rsidRPr="0056455C">
        <w:rPr>
          <w:rFonts w:ascii="Calibri" w:hAnsi="Calibri"/>
        </w:rPr>
        <w:t xml:space="preserve"> (</w:t>
      </w:r>
      <w:r>
        <w:rPr>
          <w:rFonts w:ascii="Calibri" w:hAnsi="Calibri"/>
        </w:rPr>
        <w:t xml:space="preserve">UGD 4 or </w:t>
      </w:r>
      <w:r w:rsidRPr="0056455C">
        <w:rPr>
          <w:rFonts w:ascii="Calibri" w:hAnsi="Calibri"/>
        </w:rPr>
        <w:t>40% undergraduate</w:t>
      </w:r>
      <w:r>
        <w:rPr>
          <w:rFonts w:ascii="Calibri" w:hAnsi="Calibri"/>
        </w:rPr>
        <w:t>; UGD 7</w:t>
      </w:r>
      <w:r w:rsidRPr="0056455C">
        <w:rPr>
          <w:rFonts w:ascii="Calibri" w:hAnsi="Calibri"/>
        </w:rPr>
        <w:t xml:space="preserve"> or 50% postgraduate) for each learning outcome.</w:t>
      </w:r>
      <w:r>
        <w:rPr>
          <w:rFonts w:ascii="Calibri" w:hAnsi="Calibri"/>
        </w:rPr>
        <w:t xml:space="preserve"> When writing assessment criteria, it's usually best to start with the pass descriptor and then work down and up.</w:t>
      </w:r>
    </w:p>
    <w:p w14:paraId="36E2648C" w14:textId="77777777" w:rsidR="00C468AD" w:rsidRDefault="00C468AD" w:rsidP="00C468AD">
      <w:pPr>
        <w:spacing w:after="120" w:line="240" w:lineRule="auto"/>
        <w:rPr>
          <w:rFonts w:ascii="Calibri" w:hAnsi="Calibri"/>
        </w:rPr>
      </w:pPr>
      <w:r w:rsidRPr="0056455C">
        <w:rPr>
          <w:rFonts w:ascii="Calibri" w:hAnsi="Calibri"/>
          <w:b/>
        </w:rPr>
        <w:t>Grade descriptor:</w:t>
      </w:r>
      <w:r>
        <w:rPr>
          <w:rFonts w:ascii="Calibri" w:hAnsi="Calibri"/>
          <w:b/>
        </w:rPr>
        <w:t xml:space="preserve"> </w:t>
      </w:r>
      <w:r>
        <w:rPr>
          <w:rFonts w:ascii="Calibri" w:hAnsi="Calibri"/>
        </w:rPr>
        <w:t>S</w:t>
      </w:r>
      <w:r w:rsidRPr="0056455C">
        <w:rPr>
          <w:rFonts w:ascii="Calibri" w:hAnsi="Calibri"/>
        </w:rPr>
        <w:t xml:space="preserve">imilar to assessment criteria, </w:t>
      </w:r>
      <w:r>
        <w:rPr>
          <w:rFonts w:ascii="Calibri" w:hAnsi="Calibri"/>
        </w:rPr>
        <w:t>these describe</w:t>
      </w:r>
      <w:r w:rsidRPr="0056455C">
        <w:rPr>
          <w:rFonts w:ascii="Calibri" w:hAnsi="Calibri"/>
        </w:rPr>
        <w:t xml:space="preserve"> what works ‘looks like’ for different components at different grades </w:t>
      </w:r>
      <w:r>
        <w:rPr>
          <w:rFonts w:ascii="Calibri" w:hAnsi="Calibri"/>
        </w:rPr>
        <w:t>(e.g. 2.2, 2.1, 1</w:t>
      </w:r>
      <w:r w:rsidRPr="0056455C">
        <w:rPr>
          <w:rFonts w:ascii="Calibri" w:hAnsi="Calibri"/>
          <w:vertAlign w:val="superscript"/>
        </w:rPr>
        <w:t>sT</w:t>
      </w:r>
      <w:r>
        <w:rPr>
          <w:rFonts w:ascii="Calibri" w:hAnsi="Calibri"/>
        </w:rPr>
        <w:t>). They are usually</w:t>
      </w:r>
      <w:r w:rsidRPr="0056455C">
        <w:rPr>
          <w:rFonts w:ascii="Calibri" w:hAnsi="Calibri"/>
        </w:rPr>
        <w:t xml:space="preserve"> generalised</w:t>
      </w:r>
      <w:r>
        <w:rPr>
          <w:rFonts w:ascii="Calibri" w:hAnsi="Calibri"/>
        </w:rPr>
        <w:t xml:space="preserve">, for example </w:t>
      </w:r>
      <w:r w:rsidRPr="0056455C">
        <w:rPr>
          <w:rFonts w:ascii="Calibri" w:hAnsi="Calibri"/>
        </w:rPr>
        <w:t xml:space="preserve">comprehension / </w:t>
      </w:r>
      <w:r>
        <w:rPr>
          <w:rFonts w:ascii="Calibri" w:hAnsi="Calibri"/>
        </w:rPr>
        <w:t xml:space="preserve">skills / </w:t>
      </w:r>
      <w:r w:rsidRPr="0056455C">
        <w:rPr>
          <w:rFonts w:ascii="Calibri" w:hAnsi="Calibri"/>
        </w:rPr>
        <w:t>presentation)</w:t>
      </w:r>
      <w:r>
        <w:rPr>
          <w:rFonts w:ascii="Calibri" w:hAnsi="Calibri"/>
        </w:rPr>
        <w:t xml:space="preserve"> rather than related to the content of specific learning outcomes. </w:t>
      </w:r>
    </w:p>
    <w:p w14:paraId="26382EB2" w14:textId="2562E588" w:rsidR="00C468AD" w:rsidRDefault="00C468AD" w:rsidP="00C468AD">
      <w:pPr>
        <w:spacing w:after="120" w:line="240" w:lineRule="auto"/>
      </w:pPr>
      <w:r w:rsidRPr="00DA0E10">
        <w:rPr>
          <w:b/>
          <w:bCs/>
        </w:rPr>
        <w:t>UGD</w:t>
      </w:r>
      <w:r>
        <w:t xml:space="preserve"> - university grade descriptor: a version of the above for Hallam, for each level of study</w:t>
      </w:r>
      <w:r w:rsidR="000F3FC8">
        <w:t>.</w:t>
      </w:r>
    </w:p>
    <w:p w14:paraId="2086BFAC" w14:textId="77777777" w:rsidR="00C468AD" w:rsidRDefault="00C468AD" w:rsidP="00C468AD">
      <w:pPr>
        <w:spacing w:after="120" w:line="240" w:lineRule="auto"/>
        <w:rPr>
          <w:rFonts w:ascii="Calibri" w:hAnsi="Calibri"/>
        </w:rPr>
      </w:pPr>
      <w:r w:rsidRPr="0056455C">
        <w:rPr>
          <w:rFonts w:ascii="Calibri" w:hAnsi="Calibri"/>
          <w:b/>
        </w:rPr>
        <w:t>Level descriptor:</w:t>
      </w:r>
      <w:r>
        <w:rPr>
          <w:rFonts w:ascii="Calibri" w:hAnsi="Calibri"/>
          <w:b/>
        </w:rPr>
        <w:t xml:space="preserve"> </w:t>
      </w:r>
      <w:r>
        <w:rPr>
          <w:rFonts w:ascii="Calibri" w:hAnsi="Calibri"/>
        </w:rPr>
        <w:t>D</w:t>
      </w:r>
      <w:r w:rsidRPr="0056455C">
        <w:rPr>
          <w:rFonts w:ascii="Calibri" w:hAnsi="Calibri"/>
        </w:rPr>
        <w:t xml:space="preserve">efines what student achievement needs to </w:t>
      </w:r>
      <w:r>
        <w:rPr>
          <w:rFonts w:ascii="Calibri" w:hAnsi="Calibri"/>
        </w:rPr>
        <w:t>demonstrate</w:t>
      </w:r>
      <w:r w:rsidRPr="0056455C">
        <w:rPr>
          <w:rFonts w:ascii="Calibri" w:hAnsi="Calibri"/>
        </w:rPr>
        <w:t xml:space="preserve"> at L</w:t>
      </w:r>
      <w:r>
        <w:rPr>
          <w:rFonts w:ascii="Calibri" w:hAnsi="Calibri"/>
        </w:rPr>
        <w:t xml:space="preserve">evel </w:t>
      </w:r>
      <w:r w:rsidRPr="0056455C">
        <w:rPr>
          <w:rFonts w:ascii="Calibri" w:hAnsi="Calibri"/>
        </w:rPr>
        <w:t>4, L5, L6, L7</w:t>
      </w:r>
      <w:r>
        <w:rPr>
          <w:rFonts w:ascii="Calibri" w:hAnsi="Calibri"/>
        </w:rPr>
        <w:t xml:space="preserve"> - we should use level descriptors to write accurate learning outcomes and pass descriptors.</w:t>
      </w:r>
    </w:p>
    <w:p w14:paraId="6C73EF51" w14:textId="77777777" w:rsidR="00C468AD" w:rsidRDefault="00C468AD" w:rsidP="00C468AD">
      <w:pPr>
        <w:spacing w:after="120" w:line="240" w:lineRule="auto"/>
        <w:rPr>
          <w:rFonts w:ascii="Calibri" w:hAnsi="Calibri"/>
        </w:rPr>
      </w:pPr>
      <w:r w:rsidRPr="0056455C">
        <w:rPr>
          <w:rFonts w:ascii="Calibri" w:hAnsi="Calibri"/>
          <w:b/>
        </w:rPr>
        <w:t xml:space="preserve">Marking grid / </w:t>
      </w:r>
      <w:r>
        <w:rPr>
          <w:rFonts w:ascii="Calibri" w:hAnsi="Calibri"/>
          <w:b/>
        </w:rPr>
        <w:t xml:space="preserve">assessment grid / </w:t>
      </w:r>
      <w:r w:rsidRPr="0056455C">
        <w:rPr>
          <w:rFonts w:ascii="Calibri" w:hAnsi="Calibri"/>
          <w:b/>
        </w:rPr>
        <w:t>rubric:</w:t>
      </w:r>
      <w:r>
        <w:rPr>
          <w:rFonts w:ascii="Calibri" w:hAnsi="Calibri"/>
          <w:b/>
        </w:rPr>
        <w:t xml:space="preserve"> </w:t>
      </w:r>
      <w:r w:rsidRPr="0056455C">
        <w:rPr>
          <w:rFonts w:ascii="Calibri" w:hAnsi="Calibri"/>
        </w:rPr>
        <w:t xml:space="preserve">The module learning outcomes with their associated assessment </w:t>
      </w:r>
      <w:r>
        <w:rPr>
          <w:rFonts w:ascii="Calibri" w:hAnsi="Calibri"/>
        </w:rPr>
        <w:t xml:space="preserve">criteria, specific to the task, indicating how work will be marked. Can also refer to a generic marking grid such as a grade descriptor. Different </w:t>
      </w:r>
      <w:r w:rsidRPr="0056455C">
        <w:rPr>
          <w:rFonts w:ascii="Calibri" w:hAnsi="Calibri"/>
        </w:rPr>
        <w:t>approach</w:t>
      </w:r>
      <w:r>
        <w:rPr>
          <w:rFonts w:ascii="Calibri" w:hAnsi="Calibri"/>
        </w:rPr>
        <w:t>es exist</w:t>
      </w:r>
      <w:r w:rsidRPr="0056455C">
        <w:rPr>
          <w:rFonts w:ascii="Calibri" w:hAnsi="Calibri"/>
        </w:rPr>
        <w:t>, which is where confusion arises.</w:t>
      </w:r>
    </w:p>
    <w:p w14:paraId="36B0DB5B" w14:textId="1CAD8624" w:rsidR="00C468AD" w:rsidRDefault="00C468AD" w:rsidP="00C468AD">
      <w:pPr>
        <w:spacing w:after="120" w:line="240" w:lineRule="auto"/>
        <w:rPr>
          <w:rFonts w:ascii="Calibri" w:hAnsi="Calibri"/>
        </w:rPr>
      </w:pPr>
      <w:r w:rsidRPr="0056455C">
        <w:rPr>
          <w:rFonts w:ascii="Calibri" w:hAnsi="Calibri"/>
          <w:b/>
        </w:rPr>
        <w:t>Categorical marking:</w:t>
      </w:r>
      <w:r>
        <w:rPr>
          <w:rFonts w:ascii="Calibri" w:hAnsi="Calibri"/>
          <w:b/>
        </w:rPr>
        <w:t xml:space="preserve"> </w:t>
      </w:r>
      <w:r>
        <w:rPr>
          <w:rFonts w:ascii="Calibri" w:hAnsi="Calibri"/>
        </w:rPr>
        <w:t>L</w:t>
      </w:r>
      <w:r w:rsidRPr="0056455C">
        <w:rPr>
          <w:rFonts w:ascii="Calibri" w:hAnsi="Calibri"/>
        </w:rPr>
        <w:t xml:space="preserve">imiting the grades that can be given to (for example) to only use </w:t>
      </w:r>
      <w:r>
        <w:rPr>
          <w:rFonts w:ascii="Calibri" w:hAnsi="Calibri"/>
        </w:rPr>
        <w:t>2s, 5s and 8s in every 10 (e.g. 52, 55 or 58)</w:t>
      </w:r>
      <w:r w:rsidR="003A27C7">
        <w:rPr>
          <w:rFonts w:ascii="Calibri" w:hAnsi="Calibri"/>
        </w:rPr>
        <w:t xml:space="preserve"> </w:t>
      </w:r>
      <w:r w:rsidRPr="0056455C">
        <w:rPr>
          <w:rFonts w:ascii="Calibri" w:hAnsi="Calibri"/>
        </w:rPr>
        <w:t>to promote consistency among markers (</w:t>
      </w:r>
      <w:r>
        <w:rPr>
          <w:rFonts w:ascii="Calibri" w:hAnsi="Calibri"/>
        </w:rPr>
        <w:t>such as to</w:t>
      </w:r>
      <w:r w:rsidRPr="0056455C">
        <w:rPr>
          <w:rFonts w:ascii="Calibri" w:hAnsi="Calibri"/>
        </w:rPr>
        <w:t xml:space="preserve"> avoid </w:t>
      </w:r>
      <w:r>
        <w:rPr>
          <w:rFonts w:ascii="Calibri" w:hAnsi="Calibri"/>
        </w:rPr>
        <w:t>awarding</w:t>
      </w:r>
      <w:r w:rsidRPr="0056455C">
        <w:rPr>
          <w:rFonts w:ascii="Calibri" w:hAnsi="Calibri"/>
        </w:rPr>
        <w:t xml:space="preserve"> 9s)</w:t>
      </w:r>
      <w:r>
        <w:rPr>
          <w:rFonts w:ascii="Calibri" w:hAnsi="Calibri"/>
        </w:rPr>
        <w:t>, and aid standardisation.</w:t>
      </w:r>
    </w:p>
    <w:p w14:paraId="39DBFF4F" w14:textId="77777777" w:rsidR="00C468AD" w:rsidRDefault="00C468AD" w:rsidP="00C468AD">
      <w:pPr>
        <w:spacing w:after="120" w:line="240" w:lineRule="auto"/>
        <w:rPr>
          <w:rFonts w:ascii="Calibri" w:hAnsi="Calibri"/>
        </w:rPr>
      </w:pPr>
      <w:r w:rsidRPr="00B96D4E">
        <w:rPr>
          <w:rFonts w:ascii="Calibri" w:hAnsi="Calibri"/>
          <w:b/>
          <w:bCs/>
        </w:rPr>
        <w:t>Grade / mark</w:t>
      </w:r>
      <w:r>
        <w:rPr>
          <w:rFonts w:ascii="Calibri" w:hAnsi="Calibri"/>
        </w:rPr>
        <w:t xml:space="preserve">: the ‘score’ given to a piece of assessed work. May be numerical or alphabetical, although ‘mark’ usually indicates a number. </w:t>
      </w:r>
    </w:p>
    <w:p w14:paraId="47DE5DF4" w14:textId="77777777" w:rsidR="00C468AD" w:rsidRDefault="00C468AD" w:rsidP="00C468AD">
      <w:pPr>
        <w:spacing w:after="120" w:line="240" w:lineRule="auto"/>
        <w:rPr>
          <w:rFonts w:ascii="Calibri" w:hAnsi="Calibri"/>
        </w:rPr>
      </w:pPr>
      <w:r w:rsidRPr="00BA1E63">
        <w:rPr>
          <w:b/>
          <w:bCs/>
        </w:rPr>
        <w:t>Formative</w:t>
      </w:r>
      <w:r>
        <w:t>: assessment and associated feedback that is designed to support / contribute to final assessed task/s, but where a mark is not formally submitted or recorded.</w:t>
      </w:r>
    </w:p>
    <w:p w14:paraId="4D428507" w14:textId="77777777" w:rsidR="00C468AD" w:rsidRPr="00423400" w:rsidRDefault="00C468AD" w:rsidP="00C468AD">
      <w:pPr>
        <w:spacing w:after="120" w:line="240" w:lineRule="auto"/>
        <w:rPr>
          <w:b/>
          <w:bCs/>
        </w:rPr>
      </w:pPr>
      <w:r w:rsidRPr="00CB6B7B">
        <w:rPr>
          <w:b/>
          <w:bCs/>
        </w:rPr>
        <w:t>Summative:</w:t>
      </w:r>
      <w:r>
        <w:t xml:space="preserve"> assessment and associated feedback that is formally submitted and recorded and may contribute to the final award classification. </w:t>
      </w:r>
    </w:p>
    <w:p w14:paraId="0BF6397C" w14:textId="77777777" w:rsidR="00C468AD" w:rsidRPr="00420C5B" w:rsidRDefault="00C468AD" w:rsidP="00C468AD">
      <w:pPr>
        <w:spacing w:after="120" w:line="240" w:lineRule="auto"/>
        <w:rPr>
          <w:rFonts w:ascii="Calibri" w:hAnsi="Calibri"/>
        </w:rPr>
      </w:pPr>
      <w:r w:rsidRPr="00535655">
        <w:rPr>
          <w:b/>
          <w:bCs/>
        </w:rPr>
        <w:t>Task</w:t>
      </w:r>
      <w:r>
        <w:t>: an assessed piece of work on a module for which a single (UGD) mark must be submitted.</w:t>
      </w:r>
    </w:p>
    <w:p w14:paraId="0007F8A8" w14:textId="77777777" w:rsidR="00C468AD" w:rsidRDefault="00C468AD" w:rsidP="00C468AD">
      <w:pPr>
        <w:spacing w:after="120" w:line="240" w:lineRule="auto"/>
      </w:pPr>
      <w:r w:rsidRPr="00AC0822">
        <w:rPr>
          <w:b/>
          <w:bCs/>
        </w:rPr>
        <w:t>Capped mark:</w:t>
      </w:r>
      <w:r>
        <w:t xml:space="preserve"> a mark awarded at the threshold pass standard for work that is a second attempt following referral (or in some cases, a penalty for academic misconduct).  </w:t>
      </w:r>
    </w:p>
    <w:p w14:paraId="4CDAF7C2" w14:textId="77777777" w:rsidR="00C468AD" w:rsidRPr="008156D2" w:rsidRDefault="00C468AD" w:rsidP="00C468AD">
      <w:pPr>
        <w:spacing w:after="120" w:line="240" w:lineRule="auto"/>
      </w:pPr>
      <w:r w:rsidRPr="00F02E6B">
        <w:rPr>
          <w:b/>
          <w:bCs/>
        </w:rPr>
        <w:lastRenderedPageBreak/>
        <w:t>Work of no merit:</w:t>
      </w:r>
      <w:r>
        <w:t xml:space="preserve"> submitted work that in the judgement of the academic has no value in relation to the learning outcomes (thus awarded 0). </w:t>
      </w:r>
    </w:p>
    <w:p w14:paraId="075FA632" w14:textId="77777777" w:rsidR="00C468AD" w:rsidRDefault="00C468AD" w:rsidP="00C468AD">
      <w:pPr>
        <w:rPr>
          <w:rFonts w:ascii="Calibri" w:eastAsiaTheme="majorEastAsia" w:hAnsi="Calibri" w:cstheme="minorHAnsi"/>
          <w:b/>
          <w:color w:val="000000" w:themeColor="text1"/>
          <w:sz w:val="24"/>
          <w:szCs w:val="32"/>
        </w:rPr>
      </w:pPr>
      <w:bookmarkStart w:id="31" w:name="_Toc128660008"/>
      <w:r>
        <w:rPr>
          <w:rFonts w:cstheme="minorHAnsi"/>
        </w:rPr>
        <w:br w:type="page"/>
      </w:r>
    </w:p>
    <w:p w14:paraId="7B778FAC" w14:textId="77777777" w:rsidR="00C468AD" w:rsidRPr="00563EE5" w:rsidRDefault="00C468AD" w:rsidP="00C468AD">
      <w:pPr>
        <w:pStyle w:val="Heading1"/>
        <w:spacing w:before="0"/>
        <w:rPr>
          <w:rFonts w:cstheme="minorHAnsi"/>
        </w:rPr>
      </w:pPr>
      <w:r w:rsidRPr="00563EE5">
        <w:rPr>
          <w:rFonts w:cstheme="minorHAnsi"/>
        </w:rPr>
        <w:lastRenderedPageBreak/>
        <w:t>Task 1 (Viva and supporting information) - Assessment feedback report</w:t>
      </w:r>
      <w:bookmarkEnd w:id="21"/>
      <w:r w:rsidRPr="00563EE5">
        <w:rPr>
          <w:rFonts w:cstheme="minorHAnsi"/>
        </w:rPr>
        <w:t xml:space="preserve"> - EXAMPLE</w:t>
      </w:r>
      <w:bookmarkEnd w:id="31"/>
    </w:p>
    <w:p w14:paraId="34CFAC93" w14:textId="77777777" w:rsidR="00C468AD" w:rsidRPr="00563EE5" w:rsidRDefault="00C468AD" w:rsidP="00C468AD">
      <w:pPr>
        <w:spacing w:after="0" w:line="240" w:lineRule="auto"/>
        <w:rPr>
          <w:rFonts w:cstheme="minorHAnsi"/>
          <w:sz w:val="24"/>
          <w:szCs w:val="24"/>
        </w:rPr>
      </w:pPr>
    </w:p>
    <w:tbl>
      <w:tblPr>
        <w:tblW w:w="15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6"/>
        <w:gridCol w:w="6260"/>
      </w:tblGrid>
      <w:tr w:rsidR="00C468AD" w:rsidRPr="00563EE5" w14:paraId="3232888E" w14:textId="77777777" w:rsidTr="006F387B">
        <w:trPr>
          <w:jc w:val="center"/>
        </w:trPr>
        <w:tc>
          <w:tcPr>
            <w:tcW w:w="9006" w:type="dxa"/>
          </w:tcPr>
          <w:p w14:paraId="1E1C5D3E" w14:textId="77777777" w:rsidR="00C468AD" w:rsidRPr="00563EE5" w:rsidRDefault="00C468AD" w:rsidP="006F387B">
            <w:pPr>
              <w:spacing w:after="0" w:line="240" w:lineRule="auto"/>
              <w:rPr>
                <w:rFonts w:cstheme="minorHAnsi"/>
                <w:sz w:val="24"/>
                <w:szCs w:val="24"/>
              </w:rPr>
            </w:pPr>
            <w:r w:rsidRPr="00563EE5">
              <w:rPr>
                <w:rFonts w:cstheme="minorHAnsi"/>
                <w:sz w:val="24"/>
                <w:szCs w:val="24"/>
              </w:rPr>
              <w:t>Student name and number:</w:t>
            </w:r>
            <w:r w:rsidRPr="00563EE5">
              <w:rPr>
                <w:rFonts w:cstheme="minorHAnsi"/>
                <w:sz w:val="24"/>
                <w:szCs w:val="24"/>
              </w:rPr>
              <w:tab/>
            </w:r>
          </w:p>
        </w:tc>
        <w:tc>
          <w:tcPr>
            <w:tcW w:w="6260" w:type="dxa"/>
          </w:tcPr>
          <w:p w14:paraId="4131E532" w14:textId="77777777" w:rsidR="00C468AD" w:rsidRPr="00563EE5" w:rsidRDefault="00C468AD" w:rsidP="006F387B">
            <w:pPr>
              <w:spacing w:after="0" w:line="240" w:lineRule="auto"/>
              <w:rPr>
                <w:rFonts w:cstheme="minorHAnsi"/>
                <w:bCs/>
                <w:sz w:val="24"/>
                <w:szCs w:val="24"/>
              </w:rPr>
            </w:pPr>
            <w:r w:rsidRPr="00563EE5">
              <w:rPr>
                <w:rFonts w:cstheme="minorHAnsi"/>
                <w:sz w:val="24"/>
                <w:szCs w:val="24"/>
              </w:rPr>
              <w:t xml:space="preserve">Submission deadline: </w:t>
            </w:r>
            <w:r w:rsidRPr="00563EE5">
              <w:rPr>
                <w:rFonts w:cstheme="minorHAnsi"/>
                <w:sz w:val="24"/>
                <w:szCs w:val="24"/>
              </w:rPr>
              <w:tab/>
            </w:r>
          </w:p>
        </w:tc>
      </w:tr>
      <w:tr w:rsidR="00C468AD" w:rsidRPr="00563EE5" w14:paraId="303BCF68" w14:textId="77777777" w:rsidTr="006F387B">
        <w:trPr>
          <w:trHeight w:val="154"/>
          <w:jc w:val="center"/>
        </w:trPr>
        <w:tc>
          <w:tcPr>
            <w:tcW w:w="9006" w:type="dxa"/>
          </w:tcPr>
          <w:p w14:paraId="57AD7DCF" w14:textId="77777777" w:rsidR="00C468AD" w:rsidRPr="00563EE5" w:rsidRDefault="00C468AD" w:rsidP="006F387B">
            <w:pPr>
              <w:spacing w:after="0" w:line="240" w:lineRule="auto"/>
              <w:rPr>
                <w:rFonts w:cstheme="minorHAnsi"/>
                <w:sz w:val="24"/>
                <w:szCs w:val="24"/>
              </w:rPr>
            </w:pPr>
            <w:r w:rsidRPr="00563EE5">
              <w:rPr>
                <w:rFonts w:cstheme="minorHAnsi"/>
                <w:sz w:val="24"/>
                <w:szCs w:val="24"/>
              </w:rPr>
              <w:t>Assessing tutor name:</w:t>
            </w:r>
          </w:p>
        </w:tc>
        <w:tc>
          <w:tcPr>
            <w:tcW w:w="6260" w:type="dxa"/>
          </w:tcPr>
          <w:p w14:paraId="35C06051" w14:textId="77777777" w:rsidR="00C468AD" w:rsidRPr="00563EE5" w:rsidRDefault="00C468AD" w:rsidP="006F387B">
            <w:pPr>
              <w:spacing w:after="0" w:line="240" w:lineRule="auto"/>
              <w:rPr>
                <w:rFonts w:cstheme="minorHAnsi"/>
                <w:sz w:val="24"/>
                <w:szCs w:val="24"/>
              </w:rPr>
            </w:pPr>
            <w:r w:rsidRPr="00563EE5">
              <w:rPr>
                <w:rFonts w:cstheme="minorHAnsi"/>
                <w:sz w:val="24"/>
                <w:szCs w:val="24"/>
              </w:rPr>
              <w:t>Date Submitted:</w:t>
            </w:r>
          </w:p>
        </w:tc>
      </w:tr>
    </w:tbl>
    <w:p w14:paraId="0190834E" w14:textId="77777777" w:rsidR="00C468AD" w:rsidRPr="00563EE5" w:rsidRDefault="00C468AD" w:rsidP="00C468AD">
      <w:pPr>
        <w:spacing w:after="0" w:line="240" w:lineRule="auto"/>
        <w:rPr>
          <w:rFonts w:cstheme="minorHAnsi"/>
          <w:sz w:val="24"/>
          <w:szCs w:val="24"/>
        </w:rPr>
      </w:pPr>
      <w:r w:rsidRPr="00563EE5">
        <w:rPr>
          <w:rFonts w:cstheme="minorHAnsi"/>
          <w:sz w:val="24"/>
          <w:szCs w:val="24"/>
        </w:rPr>
        <w:tab/>
      </w:r>
      <w:r w:rsidRPr="00563EE5">
        <w:rPr>
          <w:rFonts w:cstheme="minorHAnsi"/>
          <w:sz w:val="24"/>
          <w:szCs w:val="24"/>
        </w:rPr>
        <w:tab/>
      </w:r>
      <w:r w:rsidRPr="00563EE5">
        <w:rPr>
          <w:rFonts w:cstheme="minorHAnsi"/>
          <w:sz w:val="24"/>
          <w:szCs w:val="24"/>
        </w:rPr>
        <w:tab/>
      </w:r>
      <w:r w:rsidRPr="00563EE5">
        <w:rPr>
          <w:rFonts w:cstheme="minorHAnsi"/>
          <w:sz w:val="24"/>
          <w:szCs w:val="24"/>
        </w:rPr>
        <w:tab/>
      </w:r>
      <w:r w:rsidRPr="00563EE5">
        <w:rPr>
          <w:rFonts w:cstheme="minorHAnsi"/>
          <w:sz w:val="24"/>
          <w:szCs w:val="24"/>
        </w:rPr>
        <w:tab/>
      </w:r>
      <w:r w:rsidRPr="00563EE5">
        <w:rPr>
          <w:rFonts w:cstheme="minorHAnsi"/>
          <w:sz w:val="24"/>
          <w:szCs w:val="24"/>
        </w:rPr>
        <w:tab/>
      </w:r>
    </w:p>
    <w:tbl>
      <w:tblPr>
        <w:tblW w:w="15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2268"/>
        <w:gridCol w:w="2268"/>
        <w:gridCol w:w="2268"/>
        <w:gridCol w:w="2410"/>
        <w:gridCol w:w="4134"/>
      </w:tblGrid>
      <w:tr w:rsidR="00C468AD" w:rsidRPr="00563EE5" w14:paraId="0BAF36A2" w14:textId="77777777" w:rsidTr="006F387B">
        <w:trPr>
          <w:cantSplit/>
          <w:trHeight w:val="366"/>
          <w:tblHeader/>
          <w:jc w:val="center"/>
        </w:trPr>
        <w:tc>
          <w:tcPr>
            <w:tcW w:w="1921" w:type="dxa"/>
            <w:vAlign w:val="center"/>
          </w:tcPr>
          <w:p w14:paraId="2009F57E" w14:textId="77777777" w:rsidR="00C468AD" w:rsidRPr="00563EE5" w:rsidRDefault="00C468AD" w:rsidP="006F387B">
            <w:pPr>
              <w:tabs>
                <w:tab w:val="left" w:pos="204"/>
              </w:tabs>
              <w:autoSpaceDE w:val="0"/>
              <w:autoSpaceDN w:val="0"/>
              <w:adjustRightInd w:val="0"/>
              <w:spacing w:after="0" w:line="240" w:lineRule="auto"/>
              <w:rPr>
                <w:rFonts w:eastAsia="SimSun" w:cstheme="minorHAnsi"/>
                <w:b/>
                <w:bCs/>
                <w:i/>
                <w:color w:val="000000"/>
                <w:sz w:val="24"/>
                <w:szCs w:val="24"/>
              </w:rPr>
            </w:pPr>
            <w:r w:rsidRPr="00563EE5">
              <w:rPr>
                <w:rFonts w:eastAsia="SimSun" w:cstheme="minorHAnsi"/>
                <w:b/>
                <w:bCs/>
                <w:i/>
                <w:color w:val="000000"/>
                <w:sz w:val="24"/>
                <w:szCs w:val="24"/>
              </w:rPr>
              <w:t>Learning Outcomes</w:t>
            </w:r>
          </w:p>
        </w:tc>
        <w:tc>
          <w:tcPr>
            <w:tcW w:w="2268" w:type="dxa"/>
            <w:vAlign w:val="center"/>
          </w:tcPr>
          <w:p w14:paraId="391BB86B" w14:textId="29B35CB7" w:rsidR="00C468AD" w:rsidRPr="00563EE5" w:rsidRDefault="00C468AD" w:rsidP="006F387B">
            <w:pPr>
              <w:tabs>
                <w:tab w:val="left" w:pos="204"/>
              </w:tabs>
              <w:autoSpaceDE w:val="0"/>
              <w:autoSpaceDN w:val="0"/>
              <w:adjustRightInd w:val="0"/>
              <w:spacing w:after="0" w:line="240" w:lineRule="auto"/>
              <w:rPr>
                <w:rFonts w:eastAsia="SimSun" w:cstheme="minorHAnsi"/>
                <w:b/>
                <w:bCs/>
                <w:i/>
                <w:color w:val="000000"/>
                <w:sz w:val="24"/>
                <w:szCs w:val="24"/>
              </w:rPr>
            </w:pPr>
            <w:r w:rsidRPr="00563EE5">
              <w:rPr>
                <w:rFonts w:eastAsia="SimSun" w:cstheme="minorHAnsi"/>
                <w:b/>
                <w:bCs/>
                <w:i/>
                <w:color w:val="000000"/>
                <w:sz w:val="24"/>
                <w:szCs w:val="24"/>
              </w:rPr>
              <w:t xml:space="preserve">Fail </w:t>
            </w:r>
          </w:p>
        </w:tc>
        <w:tc>
          <w:tcPr>
            <w:tcW w:w="2268" w:type="dxa"/>
            <w:vAlign w:val="center"/>
          </w:tcPr>
          <w:p w14:paraId="777EB773" w14:textId="3B7CB7E6" w:rsidR="00C468AD" w:rsidRPr="00563EE5" w:rsidRDefault="00C468AD" w:rsidP="006F387B">
            <w:pPr>
              <w:tabs>
                <w:tab w:val="left" w:pos="204"/>
              </w:tabs>
              <w:autoSpaceDE w:val="0"/>
              <w:autoSpaceDN w:val="0"/>
              <w:adjustRightInd w:val="0"/>
              <w:spacing w:after="0" w:line="240" w:lineRule="auto"/>
              <w:rPr>
                <w:rFonts w:eastAsia="SimSun" w:cstheme="minorHAnsi"/>
                <w:b/>
                <w:bCs/>
                <w:i/>
                <w:color w:val="000000"/>
                <w:sz w:val="24"/>
                <w:szCs w:val="24"/>
              </w:rPr>
            </w:pPr>
            <w:r w:rsidRPr="00563EE5">
              <w:rPr>
                <w:rFonts w:eastAsia="SimSun" w:cstheme="minorHAnsi"/>
                <w:b/>
                <w:bCs/>
                <w:i/>
                <w:color w:val="000000"/>
                <w:sz w:val="24"/>
                <w:szCs w:val="24"/>
              </w:rPr>
              <w:t xml:space="preserve">Third </w:t>
            </w:r>
          </w:p>
        </w:tc>
        <w:tc>
          <w:tcPr>
            <w:tcW w:w="2268" w:type="dxa"/>
            <w:vAlign w:val="center"/>
          </w:tcPr>
          <w:p w14:paraId="53509F60" w14:textId="2FFC5604" w:rsidR="00C468AD" w:rsidRPr="00563EE5" w:rsidRDefault="00C468AD" w:rsidP="006F387B">
            <w:pPr>
              <w:tabs>
                <w:tab w:val="left" w:pos="204"/>
              </w:tabs>
              <w:autoSpaceDE w:val="0"/>
              <w:autoSpaceDN w:val="0"/>
              <w:adjustRightInd w:val="0"/>
              <w:spacing w:after="0" w:line="240" w:lineRule="auto"/>
              <w:rPr>
                <w:rFonts w:eastAsia="SimSun" w:cstheme="minorHAnsi"/>
                <w:b/>
                <w:bCs/>
                <w:i/>
                <w:color w:val="000000"/>
                <w:sz w:val="24"/>
                <w:szCs w:val="24"/>
              </w:rPr>
            </w:pPr>
            <w:r w:rsidRPr="00563EE5">
              <w:rPr>
                <w:rFonts w:eastAsia="SimSun" w:cstheme="minorHAnsi"/>
                <w:b/>
                <w:bCs/>
                <w:i/>
                <w:color w:val="000000"/>
                <w:sz w:val="24"/>
                <w:szCs w:val="24"/>
              </w:rPr>
              <w:t xml:space="preserve">2.2 </w:t>
            </w:r>
          </w:p>
        </w:tc>
        <w:tc>
          <w:tcPr>
            <w:tcW w:w="2410" w:type="dxa"/>
            <w:vAlign w:val="center"/>
          </w:tcPr>
          <w:p w14:paraId="56FF1598" w14:textId="7CAEDF40" w:rsidR="00C468AD" w:rsidRPr="00563EE5" w:rsidRDefault="00C468AD" w:rsidP="006F387B">
            <w:pPr>
              <w:tabs>
                <w:tab w:val="left" w:pos="204"/>
              </w:tabs>
              <w:autoSpaceDE w:val="0"/>
              <w:autoSpaceDN w:val="0"/>
              <w:adjustRightInd w:val="0"/>
              <w:spacing w:after="0" w:line="240" w:lineRule="auto"/>
              <w:rPr>
                <w:rFonts w:eastAsia="SimSun" w:cstheme="minorHAnsi"/>
                <w:b/>
                <w:bCs/>
                <w:i/>
                <w:color w:val="000000"/>
                <w:sz w:val="24"/>
                <w:szCs w:val="24"/>
              </w:rPr>
            </w:pPr>
            <w:r w:rsidRPr="00563EE5">
              <w:rPr>
                <w:rFonts w:eastAsia="SimSun" w:cstheme="minorHAnsi"/>
                <w:b/>
                <w:bCs/>
                <w:i/>
                <w:color w:val="000000"/>
                <w:sz w:val="24"/>
                <w:szCs w:val="24"/>
              </w:rPr>
              <w:t xml:space="preserve">2.1 </w:t>
            </w:r>
          </w:p>
        </w:tc>
        <w:tc>
          <w:tcPr>
            <w:tcW w:w="4134" w:type="dxa"/>
            <w:vAlign w:val="center"/>
          </w:tcPr>
          <w:p w14:paraId="12EC3B64" w14:textId="281293EC" w:rsidR="00C468AD" w:rsidRPr="00563EE5" w:rsidRDefault="00C468AD" w:rsidP="006F387B">
            <w:pPr>
              <w:tabs>
                <w:tab w:val="left" w:pos="204"/>
              </w:tabs>
              <w:autoSpaceDE w:val="0"/>
              <w:autoSpaceDN w:val="0"/>
              <w:adjustRightInd w:val="0"/>
              <w:spacing w:after="0" w:line="240" w:lineRule="auto"/>
              <w:rPr>
                <w:rFonts w:eastAsia="SimSun" w:cstheme="minorHAnsi"/>
                <w:b/>
                <w:bCs/>
                <w:i/>
                <w:color w:val="000000"/>
                <w:sz w:val="24"/>
                <w:szCs w:val="24"/>
              </w:rPr>
            </w:pPr>
            <w:r w:rsidRPr="00563EE5">
              <w:rPr>
                <w:rFonts w:eastAsia="SimSun" w:cstheme="minorHAnsi"/>
                <w:b/>
                <w:bCs/>
                <w:i/>
                <w:color w:val="000000"/>
                <w:sz w:val="24"/>
                <w:szCs w:val="24"/>
              </w:rPr>
              <w:t xml:space="preserve">First </w:t>
            </w:r>
          </w:p>
        </w:tc>
      </w:tr>
      <w:tr w:rsidR="00C468AD" w:rsidRPr="00563EE5" w14:paraId="5F422BEF" w14:textId="77777777" w:rsidTr="006F387B">
        <w:trPr>
          <w:cantSplit/>
          <w:trHeight w:val="1254"/>
          <w:jc w:val="center"/>
        </w:trPr>
        <w:tc>
          <w:tcPr>
            <w:tcW w:w="1921" w:type="dxa"/>
            <w:vAlign w:val="center"/>
          </w:tcPr>
          <w:p w14:paraId="5BCFAD61" w14:textId="77777777" w:rsidR="00C468AD" w:rsidRPr="00563EE5" w:rsidRDefault="00C468AD" w:rsidP="006F387B">
            <w:pPr>
              <w:spacing w:after="0" w:line="240" w:lineRule="auto"/>
              <w:rPr>
                <w:rFonts w:cstheme="minorHAnsi"/>
                <w:b/>
                <w:bCs/>
                <w:sz w:val="24"/>
                <w:szCs w:val="24"/>
                <w:lang w:eastAsia="en-GB"/>
              </w:rPr>
            </w:pPr>
            <w:r w:rsidRPr="00563EE5">
              <w:rPr>
                <w:rFonts w:cstheme="minorHAnsi"/>
                <w:b/>
                <w:bCs/>
                <w:sz w:val="24"/>
                <w:szCs w:val="24"/>
                <w:lang w:eastAsia="en-GB"/>
              </w:rPr>
              <w:t xml:space="preserve">Review factors influencing your specialist context </w:t>
            </w:r>
          </w:p>
        </w:tc>
        <w:tc>
          <w:tcPr>
            <w:tcW w:w="2268" w:type="dxa"/>
            <w:vAlign w:val="center"/>
          </w:tcPr>
          <w:p w14:paraId="493B5BD9"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No / limited review of factors</w:t>
            </w:r>
          </w:p>
          <w:p w14:paraId="053F661B"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No literature is used to support review</w:t>
            </w:r>
          </w:p>
        </w:tc>
        <w:tc>
          <w:tcPr>
            <w:tcW w:w="2268" w:type="dxa"/>
            <w:shd w:val="clear" w:color="auto" w:fill="auto"/>
            <w:vAlign w:val="center"/>
          </w:tcPr>
          <w:p w14:paraId="6C3CDE37"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Review of some influencing factors</w:t>
            </w:r>
          </w:p>
          <w:p w14:paraId="7625DDF6"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Some literature is used to support review</w:t>
            </w:r>
          </w:p>
        </w:tc>
        <w:tc>
          <w:tcPr>
            <w:tcW w:w="2268" w:type="dxa"/>
            <w:vAlign w:val="center"/>
          </w:tcPr>
          <w:p w14:paraId="25C11B7B"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Review of key influencing factors</w:t>
            </w:r>
          </w:p>
          <w:p w14:paraId="7C4813EC"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Relevant literature is used to support review</w:t>
            </w:r>
          </w:p>
        </w:tc>
        <w:tc>
          <w:tcPr>
            <w:tcW w:w="2410" w:type="dxa"/>
            <w:vAlign w:val="center"/>
          </w:tcPr>
          <w:p w14:paraId="7431478E" w14:textId="77777777" w:rsidR="00C468AD" w:rsidRPr="00563EE5" w:rsidRDefault="00C468AD" w:rsidP="006F387B">
            <w:pPr>
              <w:spacing w:after="0" w:line="240" w:lineRule="auto"/>
              <w:ind w:left="9"/>
              <w:rPr>
                <w:rFonts w:eastAsia="SimSun" w:cstheme="minorHAnsi"/>
                <w:color w:val="000000"/>
                <w:sz w:val="24"/>
                <w:szCs w:val="24"/>
                <w:highlight w:val="yellow"/>
              </w:rPr>
            </w:pPr>
            <w:r w:rsidRPr="00563EE5">
              <w:rPr>
                <w:rFonts w:eastAsia="SimSun" w:cstheme="minorHAnsi"/>
                <w:color w:val="000000"/>
                <w:sz w:val="24"/>
                <w:szCs w:val="24"/>
                <w:highlight w:val="yellow"/>
              </w:rPr>
              <w:t>Review of key and current influencing factors</w:t>
            </w:r>
          </w:p>
          <w:p w14:paraId="2193187C"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highlight w:val="yellow"/>
              </w:rPr>
              <w:t>Key relevant literature is used to support review</w:t>
            </w:r>
          </w:p>
        </w:tc>
        <w:tc>
          <w:tcPr>
            <w:tcW w:w="4134" w:type="dxa"/>
            <w:vAlign w:val="center"/>
          </w:tcPr>
          <w:p w14:paraId="231F174E"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 xml:space="preserve">Key and current relevant influencing factors are identified </w:t>
            </w:r>
          </w:p>
          <w:p w14:paraId="7ACDBF08"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Influence of these factors critically reviewed, demonstrating a clear understanding</w:t>
            </w:r>
          </w:p>
          <w:p w14:paraId="4226A2D9"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 xml:space="preserve">Wide </w:t>
            </w:r>
            <w:r w:rsidRPr="00563EE5">
              <w:rPr>
                <w:rFonts w:eastAsia="SimSun" w:cstheme="minorHAnsi"/>
                <w:sz w:val="24"/>
                <w:szCs w:val="24"/>
              </w:rPr>
              <w:t xml:space="preserve">range of relevant and current literature used effectively to support review </w:t>
            </w:r>
          </w:p>
        </w:tc>
      </w:tr>
      <w:tr w:rsidR="00C468AD" w:rsidRPr="00563EE5" w14:paraId="2B2EA2FE" w14:textId="77777777" w:rsidTr="006F387B">
        <w:trPr>
          <w:cantSplit/>
          <w:trHeight w:val="1130"/>
          <w:jc w:val="center"/>
        </w:trPr>
        <w:tc>
          <w:tcPr>
            <w:tcW w:w="1921" w:type="dxa"/>
            <w:vAlign w:val="center"/>
          </w:tcPr>
          <w:p w14:paraId="089C4625" w14:textId="77777777" w:rsidR="00C468AD" w:rsidRPr="00563EE5" w:rsidRDefault="00C468AD" w:rsidP="006F387B">
            <w:pPr>
              <w:spacing w:after="0" w:line="240" w:lineRule="auto"/>
              <w:rPr>
                <w:rFonts w:cstheme="minorHAnsi"/>
                <w:b/>
                <w:bCs/>
                <w:sz w:val="24"/>
                <w:szCs w:val="24"/>
                <w:lang w:eastAsia="en-GB"/>
              </w:rPr>
            </w:pPr>
            <w:r w:rsidRPr="00563EE5">
              <w:rPr>
                <w:rFonts w:cstheme="minorHAnsi"/>
                <w:b/>
                <w:bCs/>
                <w:sz w:val="24"/>
                <w:szCs w:val="24"/>
                <w:lang w:eastAsia="en-GB"/>
              </w:rPr>
              <w:t>Design and implement a small scale research activity</w:t>
            </w:r>
          </w:p>
        </w:tc>
        <w:tc>
          <w:tcPr>
            <w:tcW w:w="2268" w:type="dxa"/>
            <w:vAlign w:val="center"/>
          </w:tcPr>
          <w:p w14:paraId="6E3BB681"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 xml:space="preserve">No / inappropriate design and/or implementation of research activity </w:t>
            </w:r>
          </w:p>
          <w:p w14:paraId="03D5747E"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No literature used to justify research design</w:t>
            </w:r>
          </w:p>
        </w:tc>
        <w:tc>
          <w:tcPr>
            <w:tcW w:w="2268" w:type="dxa"/>
            <w:shd w:val="clear" w:color="auto" w:fill="auto"/>
            <w:vAlign w:val="center"/>
          </w:tcPr>
          <w:p w14:paraId="2EE2C28B"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 xml:space="preserve">Design and implementation of  research activity </w:t>
            </w:r>
          </w:p>
          <w:p w14:paraId="4C4E0DE3"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Some literature used to justify research design</w:t>
            </w:r>
          </w:p>
        </w:tc>
        <w:tc>
          <w:tcPr>
            <w:tcW w:w="2268" w:type="dxa"/>
            <w:vAlign w:val="center"/>
          </w:tcPr>
          <w:p w14:paraId="69778A90" w14:textId="77777777" w:rsidR="00C468AD" w:rsidRPr="00563EE5" w:rsidRDefault="00C468AD" w:rsidP="006F387B">
            <w:pPr>
              <w:spacing w:after="0" w:line="240" w:lineRule="auto"/>
              <w:ind w:left="9"/>
              <w:rPr>
                <w:rFonts w:eastAsia="SimSun" w:cstheme="minorHAnsi"/>
                <w:color w:val="000000"/>
                <w:sz w:val="24"/>
                <w:szCs w:val="24"/>
                <w:highlight w:val="yellow"/>
              </w:rPr>
            </w:pPr>
            <w:r w:rsidRPr="00563EE5">
              <w:rPr>
                <w:rFonts w:eastAsia="SimSun" w:cstheme="minorHAnsi"/>
                <w:color w:val="000000"/>
                <w:sz w:val="24"/>
                <w:szCs w:val="24"/>
                <w:highlight w:val="yellow"/>
              </w:rPr>
              <w:t xml:space="preserve">Appropriate design and implementation of research activity </w:t>
            </w:r>
          </w:p>
          <w:p w14:paraId="2A0BB2FF"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highlight w:val="yellow"/>
              </w:rPr>
              <w:t>Relevant literature used to justify research design</w:t>
            </w:r>
          </w:p>
        </w:tc>
        <w:tc>
          <w:tcPr>
            <w:tcW w:w="2410" w:type="dxa"/>
            <w:vAlign w:val="center"/>
          </w:tcPr>
          <w:p w14:paraId="1DDE9DB5"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 xml:space="preserve">Appropriate design and effective implementation of research activity </w:t>
            </w:r>
          </w:p>
          <w:p w14:paraId="0054DDA8"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Relevant literature used to justify research design</w:t>
            </w:r>
          </w:p>
        </w:tc>
        <w:tc>
          <w:tcPr>
            <w:tcW w:w="4134" w:type="dxa"/>
            <w:vAlign w:val="center"/>
          </w:tcPr>
          <w:p w14:paraId="52C832A6"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 xml:space="preserve">Appropriate and innovative design and highly effective implementation of research activity </w:t>
            </w:r>
          </w:p>
          <w:p w14:paraId="654BE21F"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 xml:space="preserve">Wide </w:t>
            </w:r>
            <w:r w:rsidRPr="00563EE5">
              <w:rPr>
                <w:rFonts w:eastAsia="SimSun" w:cstheme="minorHAnsi"/>
                <w:sz w:val="24"/>
                <w:szCs w:val="24"/>
              </w:rPr>
              <w:t>range of relevant and current literature used effectively</w:t>
            </w:r>
            <w:r w:rsidRPr="00563EE5">
              <w:rPr>
                <w:rFonts w:eastAsia="SimSun" w:cstheme="minorHAnsi"/>
                <w:color w:val="000000"/>
                <w:sz w:val="24"/>
                <w:szCs w:val="24"/>
              </w:rPr>
              <w:t xml:space="preserve"> to justify research design and implementation</w:t>
            </w:r>
          </w:p>
        </w:tc>
      </w:tr>
      <w:tr w:rsidR="00C468AD" w:rsidRPr="00563EE5" w14:paraId="7E44ADFC" w14:textId="77777777" w:rsidTr="006F387B">
        <w:trPr>
          <w:cantSplit/>
          <w:trHeight w:val="1274"/>
          <w:jc w:val="center"/>
        </w:trPr>
        <w:tc>
          <w:tcPr>
            <w:tcW w:w="1921" w:type="dxa"/>
            <w:vAlign w:val="center"/>
          </w:tcPr>
          <w:p w14:paraId="372FBB0C" w14:textId="77777777" w:rsidR="00C468AD" w:rsidRPr="00563EE5" w:rsidRDefault="00C468AD" w:rsidP="006F387B">
            <w:pPr>
              <w:spacing w:after="0" w:line="240" w:lineRule="auto"/>
              <w:rPr>
                <w:rFonts w:eastAsia="Arial" w:cstheme="minorHAnsi"/>
                <w:b/>
                <w:bCs/>
                <w:sz w:val="24"/>
                <w:szCs w:val="24"/>
                <w:lang w:eastAsia="en-GB"/>
              </w:rPr>
            </w:pPr>
            <w:r w:rsidRPr="00563EE5">
              <w:rPr>
                <w:rFonts w:cstheme="minorHAnsi"/>
                <w:b/>
                <w:bCs/>
                <w:sz w:val="24"/>
                <w:szCs w:val="24"/>
                <w:lang w:eastAsia="en-GB"/>
              </w:rPr>
              <w:t>Present evidence to support processes and outcomes of research</w:t>
            </w:r>
          </w:p>
        </w:tc>
        <w:tc>
          <w:tcPr>
            <w:tcW w:w="2268" w:type="dxa"/>
            <w:vAlign w:val="center"/>
          </w:tcPr>
          <w:p w14:paraId="3D278DDB"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No / insufficient evidence is presented</w:t>
            </w:r>
          </w:p>
          <w:p w14:paraId="3179E3E0"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Evidence is poorly presented</w:t>
            </w:r>
          </w:p>
        </w:tc>
        <w:tc>
          <w:tcPr>
            <w:tcW w:w="2268" w:type="dxa"/>
            <w:shd w:val="clear" w:color="auto" w:fill="auto"/>
            <w:vAlign w:val="center"/>
          </w:tcPr>
          <w:p w14:paraId="2C27CFA2" w14:textId="77777777" w:rsidR="00C468AD" w:rsidRPr="00563EE5" w:rsidRDefault="00C468AD" w:rsidP="006F387B">
            <w:pPr>
              <w:spacing w:after="0" w:line="240" w:lineRule="auto"/>
              <w:ind w:left="9"/>
              <w:rPr>
                <w:rFonts w:eastAsia="SimSun" w:cstheme="minorHAnsi"/>
                <w:sz w:val="24"/>
                <w:szCs w:val="24"/>
              </w:rPr>
            </w:pPr>
            <w:r w:rsidRPr="00563EE5">
              <w:rPr>
                <w:rFonts w:eastAsia="SimSun" w:cstheme="minorHAnsi"/>
                <w:sz w:val="24"/>
                <w:szCs w:val="24"/>
              </w:rPr>
              <w:t xml:space="preserve">Some evidence is presented </w:t>
            </w:r>
          </w:p>
          <w:p w14:paraId="0E5549BA" w14:textId="77777777" w:rsidR="00C468AD" w:rsidRPr="00563EE5" w:rsidRDefault="00C468AD" w:rsidP="006F387B">
            <w:pPr>
              <w:spacing w:after="0" w:line="240" w:lineRule="auto"/>
              <w:ind w:left="9"/>
              <w:rPr>
                <w:rFonts w:eastAsia="SimSun" w:cstheme="minorHAnsi"/>
                <w:sz w:val="24"/>
                <w:szCs w:val="24"/>
              </w:rPr>
            </w:pPr>
            <w:r w:rsidRPr="00563EE5">
              <w:rPr>
                <w:rFonts w:eastAsia="SimSun" w:cstheme="minorHAnsi"/>
                <w:sz w:val="24"/>
                <w:szCs w:val="24"/>
              </w:rPr>
              <w:t>Limited review of evidence has taken place</w:t>
            </w:r>
          </w:p>
          <w:p w14:paraId="78FA302B" w14:textId="77777777" w:rsidR="00C468AD" w:rsidRPr="00563EE5" w:rsidRDefault="00C468AD" w:rsidP="006F387B">
            <w:pPr>
              <w:spacing w:after="0" w:line="240" w:lineRule="auto"/>
              <w:ind w:left="9"/>
              <w:rPr>
                <w:rFonts w:eastAsia="SimSun" w:cstheme="minorHAnsi"/>
                <w:sz w:val="24"/>
                <w:szCs w:val="24"/>
              </w:rPr>
            </w:pPr>
            <w:r w:rsidRPr="00563EE5">
              <w:rPr>
                <w:rFonts w:eastAsia="SimSun" w:cstheme="minorHAnsi"/>
                <w:sz w:val="24"/>
                <w:szCs w:val="24"/>
              </w:rPr>
              <w:t xml:space="preserve">Evidence is presented adequately </w:t>
            </w:r>
          </w:p>
        </w:tc>
        <w:tc>
          <w:tcPr>
            <w:tcW w:w="2268" w:type="dxa"/>
            <w:vAlign w:val="center"/>
          </w:tcPr>
          <w:p w14:paraId="3116EC64" w14:textId="77777777" w:rsidR="00C468AD" w:rsidRPr="00563EE5" w:rsidRDefault="00C468AD" w:rsidP="006F387B">
            <w:pPr>
              <w:spacing w:after="0" w:line="240" w:lineRule="auto"/>
              <w:ind w:left="9"/>
              <w:rPr>
                <w:rFonts w:eastAsia="SimSun" w:cstheme="minorHAnsi"/>
                <w:sz w:val="24"/>
                <w:szCs w:val="24"/>
              </w:rPr>
            </w:pPr>
            <w:r w:rsidRPr="00563EE5">
              <w:rPr>
                <w:rFonts w:eastAsia="SimSun" w:cstheme="minorHAnsi"/>
                <w:sz w:val="24"/>
                <w:szCs w:val="24"/>
              </w:rPr>
              <w:t xml:space="preserve">Key evidence is presented </w:t>
            </w:r>
          </w:p>
          <w:p w14:paraId="57777B17" w14:textId="77777777" w:rsidR="00C468AD" w:rsidRPr="00563EE5" w:rsidRDefault="00C468AD" w:rsidP="006F387B">
            <w:pPr>
              <w:spacing w:after="0" w:line="240" w:lineRule="auto"/>
              <w:ind w:left="9"/>
              <w:rPr>
                <w:rFonts w:eastAsia="SimSun" w:cstheme="minorHAnsi"/>
                <w:sz w:val="24"/>
                <w:szCs w:val="24"/>
              </w:rPr>
            </w:pPr>
            <w:r w:rsidRPr="00563EE5">
              <w:rPr>
                <w:rFonts w:eastAsia="SimSun" w:cstheme="minorHAnsi"/>
                <w:sz w:val="24"/>
                <w:szCs w:val="24"/>
                <w:highlight w:val="yellow"/>
              </w:rPr>
              <w:t>Some review of the evidence has taken place</w:t>
            </w:r>
          </w:p>
          <w:p w14:paraId="1DB9F521" w14:textId="77777777" w:rsidR="00C468AD" w:rsidRPr="00563EE5" w:rsidRDefault="00C468AD" w:rsidP="006F387B">
            <w:pPr>
              <w:spacing w:after="0" w:line="240" w:lineRule="auto"/>
              <w:ind w:left="9"/>
              <w:rPr>
                <w:rFonts w:eastAsia="SimSun" w:cstheme="minorHAnsi"/>
                <w:sz w:val="24"/>
                <w:szCs w:val="24"/>
              </w:rPr>
            </w:pPr>
            <w:r w:rsidRPr="00563EE5">
              <w:rPr>
                <w:rFonts w:eastAsia="SimSun" w:cstheme="minorHAnsi"/>
                <w:sz w:val="24"/>
                <w:szCs w:val="24"/>
              </w:rPr>
              <w:t>Evidence is presented clearly</w:t>
            </w:r>
          </w:p>
        </w:tc>
        <w:tc>
          <w:tcPr>
            <w:tcW w:w="2410" w:type="dxa"/>
            <w:vAlign w:val="center"/>
          </w:tcPr>
          <w:p w14:paraId="01FDA951"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highlight w:val="yellow"/>
              </w:rPr>
              <w:t>Range of relevant evidence presented</w:t>
            </w:r>
            <w:r w:rsidRPr="00563EE5">
              <w:rPr>
                <w:rFonts w:eastAsia="SimSun" w:cstheme="minorHAnsi"/>
                <w:color w:val="000000"/>
                <w:sz w:val="24"/>
                <w:szCs w:val="24"/>
              </w:rPr>
              <w:t xml:space="preserve"> </w:t>
            </w:r>
          </w:p>
          <w:p w14:paraId="7B552FFC"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rPr>
              <w:t>Evidence has been interpreted and reviewed</w:t>
            </w:r>
          </w:p>
          <w:p w14:paraId="0E1ED329"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highlight w:val="yellow"/>
              </w:rPr>
              <w:t>Evidence is presented clearly and effectively</w:t>
            </w:r>
          </w:p>
        </w:tc>
        <w:tc>
          <w:tcPr>
            <w:tcW w:w="4134" w:type="dxa"/>
            <w:vAlign w:val="center"/>
          </w:tcPr>
          <w:p w14:paraId="4F9772A2"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rPr>
              <w:t xml:space="preserve">Wide range of key evidence is presented </w:t>
            </w:r>
          </w:p>
          <w:p w14:paraId="0015872C"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rPr>
              <w:t>Evidence has been interpreted and critically reviewed in some depth</w:t>
            </w:r>
          </w:p>
          <w:p w14:paraId="54EF600D"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rPr>
              <w:t xml:space="preserve">Evidence is presented clearly, effectively and innovatively </w:t>
            </w:r>
          </w:p>
        </w:tc>
      </w:tr>
      <w:tr w:rsidR="00C468AD" w:rsidRPr="00563EE5" w14:paraId="3EF5D063" w14:textId="77777777" w:rsidTr="006F387B">
        <w:trPr>
          <w:cantSplit/>
          <w:trHeight w:val="1251"/>
          <w:jc w:val="center"/>
        </w:trPr>
        <w:tc>
          <w:tcPr>
            <w:tcW w:w="1921" w:type="dxa"/>
            <w:vAlign w:val="center"/>
          </w:tcPr>
          <w:p w14:paraId="2BD38D2A" w14:textId="77777777" w:rsidR="00C468AD" w:rsidRPr="00563EE5" w:rsidRDefault="00C468AD" w:rsidP="006F387B">
            <w:pPr>
              <w:spacing w:after="0" w:line="240" w:lineRule="auto"/>
              <w:rPr>
                <w:rFonts w:cstheme="minorHAnsi"/>
                <w:b/>
                <w:bCs/>
                <w:sz w:val="24"/>
                <w:szCs w:val="24"/>
                <w:lang w:eastAsia="en-GB"/>
              </w:rPr>
            </w:pPr>
            <w:r w:rsidRPr="00563EE5">
              <w:rPr>
                <w:rFonts w:cstheme="minorHAnsi"/>
                <w:b/>
                <w:bCs/>
                <w:sz w:val="24"/>
                <w:szCs w:val="24"/>
                <w:lang w:eastAsia="en-GB"/>
              </w:rPr>
              <w:lastRenderedPageBreak/>
              <w:t>Identify implications of research for personal and professional development</w:t>
            </w:r>
          </w:p>
        </w:tc>
        <w:tc>
          <w:tcPr>
            <w:tcW w:w="2268" w:type="dxa"/>
            <w:vAlign w:val="center"/>
          </w:tcPr>
          <w:p w14:paraId="6DDB5E65"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No / limited implications of research are identified</w:t>
            </w:r>
          </w:p>
          <w:p w14:paraId="13C1363D"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Implications identified are not relevant to personal and professional development</w:t>
            </w:r>
          </w:p>
        </w:tc>
        <w:tc>
          <w:tcPr>
            <w:tcW w:w="2268" w:type="dxa"/>
            <w:shd w:val="clear" w:color="auto" w:fill="auto"/>
            <w:vAlign w:val="center"/>
          </w:tcPr>
          <w:p w14:paraId="764A8B36"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Some relevant implications of the research for personal and professional development are identified</w:t>
            </w:r>
          </w:p>
        </w:tc>
        <w:tc>
          <w:tcPr>
            <w:tcW w:w="2268" w:type="dxa"/>
            <w:vAlign w:val="center"/>
          </w:tcPr>
          <w:p w14:paraId="24CB9AA5" w14:textId="77777777" w:rsidR="00C468AD" w:rsidRPr="00563EE5" w:rsidRDefault="00C468AD" w:rsidP="006F387B">
            <w:pPr>
              <w:spacing w:after="0" w:line="240" w:lineRule="auto"/>
              <w:ind w:left="9"/>
              <w:rPr>
                <w:rFonts w:eastAsia="SimSun" w:cstheme="minorHAnsi"/>
                <w:color w:val="000000"/>
                <w:sz w:val="24"/>
                <w:szCs w:val="24"/>
              </w:rPr>
            </w:pPr>
            <w:r w:rsidRPr="00563EE5">
              <w:rPr>
                <w:rFonts w:eastAsia="SimSun" w:cstheme="minorHAnsi"/>
                <w:color w:val="000000"/>
                <w:sz w:val="24"/>
                <w:szCs w:val="24"/>
              </w:rPr>
              <w:t>Some relevant implications of the research for personal and professional development are identified and justified</w:t>
            </w:r>
          </w:p>
        </w:tc>
        <w:tc>
          <w:tcPr>
            <w:tcW w:w="2410" w:type="dxa"/>
            <w:vAlign w:val="center"/>
          </w:tcPr>
          <w:p w14:paraId="31F86184"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highlight w:val="yellow"/>
              </w:rPr>
              <w:t>A range of relevant implications of the research for personal and professional development are identified and justified.</w:t>
            </w:r>
          </w:p>
        </w:tc>
        <w:tc>
          <w:tcPr>
            <w:tcW w:w="4134" w:type="dxa"/>
            <w:vAlign w:val="center"/>
          </w:tcPr>
          <w:p w14:paraId="20C1D9ED"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rPr>
              <w:t xml:space="preserve">A wide range of current and future implications of the research are identified and justified in depth </w:t>
            </w:r>
          </w:p>
          <w:p w14:paraId="47D20BD3"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rPr>
              <w:t>Implications identified are highly relevant to personal and professional development</w:t>
            </w:r>
          </w:p>
          <w:p w14:paraId="601C765E"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color w:val="000000"/>
                <w:sz w:val="24"/>
                <w:szCs w:val="24"/>
              </w:rPr>
              <w:t xml:space="preserve"> </w:t>
            </w:r>
          </w:p>
        </w:tc>
      </w:tr>
      <w:tr w:rsidR="00C468AD" w:rsidRPr="00563EE5" w14:paraId="0066C4FB" w14:textId="77777777" w:rsidTr="006F387B">
        <w:trPr>
          <w:cantSplit/>
          <w:trHeight w:val="1241"/>
          <w:jc w:val="center"/>
        </w:trPr>
        <w:tc>
          <w:tcPr>
            <w:tcW w:w="1921" w:type="dxa"/>
            <w:vAlign w:val="center"/>
          </w:tcPr>
          <w:p w14:paraId="77483071" w14:textId="77777777" w:rsidR="00C468AD" w:rsidRPr="00563EE5" w:rsidRDefault="00C468AD" w:rsidP="006F387B">
            <w:pPr>
              <w:spacing w:after="0" w:line="240" w:lineRule="auto"/>
              <w:rPr>
                <w:rFonts w:cstheme="minorHAnsi"/>
                <w:b/>
                <w:bCs/>
                <w:sz w:val="24"/>
                <w:szCs w:val="24"/>
                <w:lang w:eastAsia="en-GB"/>
              </w:rPr>
            </w:pPr>
            <w:r w:rsidRPr="00563EE5">
              <w:rPr>
                <w:rFonts w:cstheme="minorHAnsi"/>
                <w:b/>
                <w:bCs/>
                <w:sz w:val="24"/>
                <w:szCs w:val="24"/>
                <w:lang w:eastAsia="en-GB"/>
              </w:rPr>
              <w:t xml:space="preserve">Tutor feedback </w:t>
            </w:r>
            <w:r w:rsidRPr="00563EE5">
              <w:rPr>
                <w:rFonts w:cstheme="minorHAnsi"/>
                <w:b/>
                <w:bCs/>
                <w:sz w:val="24"/>
                <w:szCs w:val="24"/>
                <w:lang w:eastAsia="en-GB"/>
              </w:rPr>
              <w:br/>
            </w:r>
            <w:r w:rsidRPr="00563EE5">
              <w:rPr>
                <w:rFonts w:cstheme="minorHAnsi"/>
                <w:bCs/>
                <w:sz w:val="24"/>
                <w:szCs w:val="24"/>
                <w:lang w:eastAsia="en-GB"/>
              </w:rPr>
              <w:t xml:space="preserve">(please also see comments on any submitted work, if applicable) </w:t>
            </w:r>
          </w:p>
          <w:p w14:paraId="27774E05" w14:textId="751890B1" w:rsidR="00C468AD" w:rsidRPr="00563EE5" w:rsidRDefault="00C468AD" w:rsidP="006F387B">
            <w:pPr>
              <w:spacing w:after="0" w:line="240" w:lineRule="auto"/>
              <w:rPr>
                <w:rFonts w:cstheme="minorHAnsi"/>
                <w:b/>
                <w:bCs/>
                <w:sz w:val="24"/>
                <w:szCs w:val="24"/>
                <w:lang w:eastAsia="en-GB"/>
              </w:rPr>
            </w:pPr>
            <w:r w:rsidRPr="00563EE5">
              <w:rPr>
                <w:rFonts w:cstheme="minorHAnsi"/>
                <w:b/>
                <w:bCs/>
                <w:color w:val="FF0000"/>
                <w:sz w:val="24"/>
                <w:szCs w:val="24"/>
                <w:lang w:eastAsia="en-GB"/>
              </w:rPr>
              <w:t xml:space="preserve">(Mid-2.1) </w:t>
            </w:r>
          </w:p>
        </w:tc>
        <w:tc>
          <w:tcPr>
            <w:tcW w:w="13348" w:type="dxa"/>
            <w:gridSpan w:val="5"/>
            <w:vAlign w:val="center"/>
          </w:tcPr>
          <w:p w14:paraId="26F8F01B" w14:textId="77777777" w:rsidR="00C468AD" w:rsidRDefault="00C468AD" w:rsidP="006F387B">
            <w:pPr>
              <w:spacing w:after="0" w:line="240" w:lineRule="auto"/>
              <w:ind w:left="34"/>
              <w:rPr>
                <w:rFonts w:eastAsia="SimSun" w:cstheme="minorHAnsi"/>
                <w:color w:val="000000"/>
                <w:sz w:val="24"/>
                <w:szCs w:val="24"/>
              </w:rPr>
            </w:pPr>
            <w:r w:rsidRPr="00563EE5">
              <w:rPr>
                <w:rFonts w:eastAsia="SimSun" w:cstheme="minorHAnsi"/>
                <w:b/>
                <w:color w:val="000000"/>
                <w:sz w:val="24"/>
                <w:szCs w:val="24"/>
              </w:rPr>
              <w:t>Strengths</w:t>
            </w:r>
            <w:r w:rsidRPr="00563EE5">
              <w:rPr>
                <w:rFonts w:eastAsia="SimSun" w:cstheme="minorHAnsi"/>
                <w:color w:val="000000"/>
                <w:sz w:val="24"/>
                <w:szCs w:val="24"/>
              </w:rPr>
              <w:t xml:space="preserve">: You provided a good review of influencing factors and selected the key relevant literature to support this. Your design was appropriate and justified. You presented your evidence clearly and you and identified and justified useful implications for personal and professional development. </w:t>
            </w:r>
          </w:p>
          <w:p w14:paraId="372010EE" w14:textId="77777777" w:rsidR="00C468AD" w:rsidRPr="00563EE5" w:rsidRDefault="00C468AD" w:rsidP="006F387B">
            <w:pPr>
              <w:spacing w:after="0" w:line="240" w:lineRule="auto"/>
              <w:ind w:left="34"/>
              <w:rPr>
                <w:rFonts w:eastAsia="SimSun" w:cstheme="minorHAnsi"/>
                <w:color w:val="000000"/>
                <w:sz w:val="24"/>
                <w:szCs w:val="24"/>
              </w:rPr>
            </w:pPr>
          </w:p>
          <w:p w14:paraId="64363B1F" w14:textId="77777777" w:rsidR="00C468AD" w:rsidRDefault="00C468AD" w:rsidP="006F387B">
            <w:pPr>
              <w:spacing w:after="0" w:line="240" w:lineRule="auto"/>
              <w:ind w:left="34"/>
              <w:rPr>
                <w:rFonts w:eastAsia="SimSun" w:cstheme="minorHAnsi"/>
                <w:color w:val="000000"/>
                <w:sz w:val="24"/>
                <w:szCs w:val="24"/>
              </w:rPr>
            </w:pPr>
            <w:r w:rsidRPr="00563EE5">
              <w:rPr>
                <w:rFonts w:eastAsia="SimSun" w:cstheme="minorHAnsi"/>
                <w:b/>
                <w:color w:val="000000"/>
                <w:sz w:val="24"/>
                <w:szCs w:val="24"/>
              </w:rPr>
              <w:t>Areas for improvement</w:t>
            </w:r>
            <w:r w:rsidRPr="00563EE5">
              <w:rPr>
                <w:rFonts w:eastAsia="SimSun" w:cstheme="minorHAnsi"/>
                <w:color w:val="000000"/>
                <w:sz w:val="24"/>
                <w:szCs w:val="24"/>
              </w:rPr>
              <w:t>: The implementation of your research suffered slightly due to timing, which could have been addressed. Your evidence, while presented clearly, needed a little more critical interpretation as to the meaning of what you found. What other perspectives might there be?</w:t>
            </w:r>
          </w:p>
          <w:p w14:paraId="0F870B1A" w14:textId="77777777" w:rsidR="00C468AD" w:rsidRPr="00563EE5" w:rsidRDefault="00C468AD" w:rsidP="006F387B">
            <w:pPr>
              <w:spacing w:after="0" w:line="240" w:lineRule="auto"/>
              <w:ind w:left="34"/>
              <w:rPr>
                <w:rFonts w:eastAsia="SimSun" w:cstheme="minorHAnsi"/>
                <w:color w:val="000000"/>
                <w:sz w:val="24"/>
                <w:szCs w:val="24"/>
              </w:rPr>
            </w:pPr>
          </w:p>
          <w:p w14:paraId="4AC19B11" w14:textId="77777777" w:rsidR="00C468AD" w:rsidRPr="00563EE5" w:rsidRDefault="00C468AD" w:rsidP="006F387B">
            <w:pPr>
              <w:spacing w:after="0" w:line="240" w:lineRule="auto"/>
              <w:ind w:left="34"/>
              <w:rPr>
                <w:rFonts w:eastAsia="SimSun" w:cstheme="minorHAnsi"/>
                <w:color w:val="000000"/>
                <w:sz w:val="24"/>
                <w:szCs w:val="24"/>
              </w:rPr>
            </w:pPr>
            <w:r w:rsidRPr="00563EE5">
              <w:rPr>
                <w:rFonts w:eastAsia="SimSun" w:cstheme="minorHAnsi"/>
                <w:b/>
                <w:color w:val="000000"/>
                <w:sz w:val="24"/>
                <w:szCs w:val="24"/>
              </w:rPr>
              <w:t>Further development:</w:t>
            </w:r>
            <w:r w:rsidRPr="00563EE5">
              <w:rPr>
                <w:rFonts w:eastAsia="SimSun" w:cstheme="minorHAnsi"/>
                <w:color w:val="000000"/>
                <w:sz w:val="24"/>
                <w:szCs w:val="24"/>
              </w:rPr>
              <w:t xml:space="preserve"> Look outside the set reading to expand your knowledge further - follow up on citations in key texts to expand your literature use. Check your evidence base, be careful not to present things as accepted fact if this can be debated / challenged. </w:t>
            </w:r>
          </w:p>
        </w:tc>
      </w:tr>
    </w:tbl>
    <w:p w14:paraId="019F7095" w14:textId="77777777" w:rsidR="00C468AD" w:rsidRDefault="00C468AD" w:rsidP="00C468AD">
      <w:pPr>
        <w:pStyle w:val="Heading1"/>
      </w:pPr>
      <w:bookmarkStart w:id="32" w:name="_Toc7610449"/>
    </w:p>
    <w:p w14:paraId="5CAEBBBA" w14:textId="77777777" w:rsidR="00C468AD" w:rsidRDefault="00C468AD" w:rsidP="00C468AD">
      <w:pPr>
        <w:rPr>
          <w:rFonts w:eastAsiaTheme="majorEastAsia" w:cstheme="majorBidi"/>
          <w:b/>
          <w:bCs/>
          <w:color w:val="2F5496" w:themeColor="accent1" w:themeShade="BF"/>
          <w:sz w:val="28"/>
          <w:szCs w:val="28"/>
          <w:lang w:eastAsia="ja-JP"/>
        </w:rPr>
      </w:pPr>
      <w:r>
        <w:br w:type="page"/>
      </w:r>
    </w:p>
    <w:p w14:paraId="3664AE3E" w14:textId="77777777" w:rsidR="00C468AD" w:rsidRPr="00563EE5" w:rsidRDefault="00C468AD" w:rsidP="00C468AD">
      <w:pPr>
        <w:pStyle w:val="Heading1"/>
      </w:pPr>
      <w:bookmarkStart w:id="33" w:name="_Toc128660009"/>
      <w:r w:rsidRPr="00563EE5">
        <w:lastRenderedPageBreak/>
        <w:t>Task 1 (Viva and supporting information) - understanding your mark</w:t>
      </w:r>
      <w:bookmarkEnd w:id="32"/>
      <w:r w:rsidRPr="00563EE5">
        <w:t xml:space="preserve"> - EXAMPLE</w:t>
      </w:r>
      <w:bookmarkEnd w:id="33"/>
    </w:p>
    <w:p w14:paraId="4F7D4D40" w14:textId="77777777" w:rsidR="00C468AD" w:rsidRPr="00563EE5" w:rsidRDefault="00C468AD" w:rsidP="00C468AD">
      <w:pPr>
        <w:spacing w:after="0" w:line="240" w:lineRule="auto"/>
        <w:rPr>
          <w:rFonts w:cstheme="minorHAnsi"/>
          <w:sz w:val="24"/>
          <w:szCs w:val="24"/>
        </w:rPr>
      </w:pPr>
      <w:r w:rsidRPr="00563EE5">
        <w:rPr>
          <w:rFonts w:cstheme="minorHAnsi"/>
          <w:sz w:val="24"/>
          <w:szCs w:val="24"/>
          <w:highlight w:val="yellow"/>
        </w:rPr>
        <w:t>As well as assessing your work against the module learning outcomes and assessment criteria, your marker has used the guidance below to award your final grade for your work. These descriptors also provide you with more general guidance to improve your mark.</w:t>
      </w:r>
    </w:p>
    <w:tbl>
      <w:tblPr>
        <w:tblW w:w="15094" w:type="dxa"/>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64"/>
        <w:gridCol w:w="1559"/>
        <w:gridCol w:w="12871"/>
      </w:tblGrid>
      <w:tr w:rsidR="004F0C65" w:rsidRPr="00563EE5" w14:paraId="0D132C7B" w14:textId="77777777" w:rsidTr="004F0C65">
        <w:trPr>
          <w:trHeight w:val="399"/>
          <w:jc w:val="center"/>
        </w:trPr>
        <w:tc>
          <w:tcPr>
            <w:tcW w:w="664" w:type="dxa"/>
            <w:vAlign w:val="center"/>
          </w:tcPr>
          <w:p w14:paraId="15096A18" w14:textId="77777777" w:rsidR="004F0C65" w:rsidRPr="00563EE5" w:rsidRDefault="004F0C65" w:rsidP="006F387B">
            <w:pPr>
              <w:pStyle w:val="TableParagraph"/>
              <w:ind w:left="97"/>
              <w:rPr>
                <w:rFonts w:asciiTheme="minorHAnsi" w:hAnsiTheme="minorHAnsi" w:cstheme="minorHAnsi"/>
                <w:b/>
                <w:sz w:val="24"/>
                <w:szCs w:val="24"/>
              </w:rPr>
            </w:pPr>
            <w:r w:rsidRPr="00563EE5">
              <w:rPr>
                <w:rFonts w:asciiTheme="minorHAnsi" w:hAnsiTheme="minorHAnsi" w:cstheme="minorHAnsi"/>
                <w:b/>
                <w:sz w:val="24"/>
                <w:szCs w:val="24"/>
              </w:rPr>
              <w:t>Class</w:t>
            </w:r>
          </w:p>
        </w:tc>
        <w:tc>
          <w:tcPr>
            <w:tcW w:w="1559" w:type="dxa"/>
            <w:vAlign w:val="center"/>
          </w:tcPr>
          <w:p w14:paraId="2537C607" w14:textId="77777777" w:rsidR="004F0C65" w:rsidRPr="00563EE5" w:rsidRDefault="004F0C65" w:rsidP="006F387B">
            <w:pPr>
              <w:pStyle w:val="TableParagraph"/>
              <w:jc w:val="center"/>
              <w:rPr>
                <w:rFonts w:asciiTheme="minorHAnsi" w:hAnsiTheme="minorHAnsi" w:cstheme="minorHAnsi"/>
                <w:b/>
                <w:sz w:val="24"/>
                <w:szCs w:val="24"/>
              </w:rPr>
            </w:pPr>
            <w:r w:rsidRPr="00563EE5">
              <w:rPr>
                <w:rFonts w:asciiTheme="minorHAnsi" w:hAnsiTheme="minorHAnsi" w:cstheme="minorHAnsi"/>
                <w:b/>
                <w:sz w:val="24"/>
                <w:szCs w:val="24"/>
              </w:rPr>
              <w:t>Category</w:t>
            </w:r>
          </w:p>
        </w:tc>
        <w:tc>
          <w:tcPr>
            <w:tcW w:w="12871" w:type="dxa"/>
            <w:vAlign w:val="center"/>
          </w:tcPr>
          <w:p w14:paraId="1F33460D" w14:textId="77777777" w:rsidR="004F0C65" w:rsidRPr="00563EE5" w:rsidRDefault="004F0C65" w:rsidP="006F387B">
            <w:pPr>
              <w:pStyle w:val="TableParagraph"/>
              <w:rPr>
                <w:rFonts w:asciiTheme="minorHAnsi" w:hAnsiTheme="minorHAnsi" w:cstheme="minorHAnsi"/>
                <w:b/>
                <w:sz w:val="24"/>
                <w:szCs w:val="24"/>
              </w:rPr>
            </w:pPr>
            <w:r w:rsidRPr="00563EE5">
              <w:rPr>
                <w:rFonts w:asciiTheme="minorHAnsi" w:hAnsiTheme="minorHAnsi" w:cstheme="minorHAnsi"/>
                <w:b/>
                <w:sz w:val="24"/>
                <w:szCs w:val="24"/>
              </w:rPr>
              <w:t>General Characteristics</w:t>
            </w:r>
          </w:p>
        </w:tc>
      </w:tr>
      <w:tr w:rsidR="004F0C65" w:rsidRPr="00563EE5" w14:paraId="5BDBA345" w14:textId="77777777" w:rsidTr="004F0C65">
        <w:trPr>
          <w:trHeight w:val="1197"/>
          <w:jc w:val="center"/>
        </w:trPr>
        <w:tc>
          <w:tcPr>
            <w:tcW w:w="664" w:type="dxa"/>
            <w:shd w:val="clear" w:color="auto" w:fill="FFFFFF" w:themeFill="background1"/>
            <w:vAlign w:val="center"/>
          </w:tcPr>
          <w:p w14:paraId="339E104C" w14:textId="77777777" w:rsidR="004F0C65" w:rsidRPr="00563EE5" w:rsidRDefault="004F0C65" w:rsidP="006F387B">
            <w:pPr>
              <w:pStyle w:val="TableParagraph"/>
              <w:rPr>
                <w:rFonts w:asciiTheme="minorHAnsi" w:hAnsiTheme="minorHAnsi" w:cstheme="minorHAnsi"/>
                <w:b/>
                <w:sz w:val="24"/>
                <w:szCs w:val="24"/>
              </w:rPr>
            </w:pPr>
          </w:p>
          <w:p w14:paraId="51E4147E" w14:textId="77777777" w:rsidR="004F0C65" w:rsidRPr="00563EE5" w:rsidRDefault="004F0C65" w:rsidP="006F387B">
            <w:pPr>
              <w:pStyle w:val="TableParagraph"/>
              <w:ind w:left="97"/>
              <w:rPr>
                <w:rFonts w:asciiTheme="minorHAnsi" w:hAnsiTheme="minorHAnsi" w:cstheme="minorHAnsi"/>
                <w:sz w:val="24"/>
                <w:szCs w:val="24"/>
              </w:rPr>
            </w:pPr>
            <w:r w:rsidRPr="00563EE5">
              <w:rPr>
                <w:rFonts w:asciiTheme="minorHAnsi" w:hAnsiTheme="minorHAnsi" w:cstheme="minorHAnsi"/>
                <w:sz w:val="24"/>
                <w:szCs w:val="24"/>
              </w:rPr>
              <w:t>1</w:t>
            </w:r>
            <w:r w:rsidRPr="00563EE5">
              <w:rPr>
                <w:rFonts w:asciiTheme="minorHAnsi" w:hAnsiTheme="minorHAnsi" w:cstheme="minorHAnsi"/>
                <w:sz w:val="24"/>
                <w:szCs w:val="24"/>
                <w:vertAlign w:val="superscript"/>
              </w:rPr>
              <w:t>st</w:t>
            </w:r>
          </w:p>
        </w:tc>
        <w:tc>
          <w:tcPr>
            <w:tcW w:w="1559" w:type="dxa"/>
            <w:shd w:val="clear" w:color="auto" w:fill="FFFFFF" w:themeFill="background1"/>
            <w:vAlign w:val="center"/>
          </w:tcPr>
          <w:p w14:paraId="35F2FA4B"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Exceptional 1st</w:t>
            </w:r>
          </w:p>
        </w:tc>
        <w:tc>
          <w:tcPr>
            <w:tcW w:w="12871" w:type="dxa"/>
            <w:shd w:val="clear" w:color="auto" w:fill="FFFFFF" w:themeFill="background1"/>
            <w:vAlign w:val="center"/>
          </w:tcPr>
          <w:p w14:paraId="49F1C9E8" w14:textId="77777777" w:rsidR="004F0C65" w:rsidRPr="00563EE5" w:rsidRDefault="004F0C65" w:rsidP="006F387B">
            <w:pPr>
              <w:pStyle w:val="TableParagraph"/>
              <w:ind w:right="78"/>
              <w:rPr>
                <w:rFonts w:asciiTheme="minorHAnsi" w:hAnsiTheme="minorHAnsi" w:cstheme="minorHAnsi"/>
                <w:sz w:val="24"/>
                <w:szCs w:val="24"/>
              </w:rPr>
            </w:pPr>
            <w:r w:rsidRPr="00563EE5">
              <w:rPr>
                <w:rFonts w:asciiTheme="minorHAnsi" w:hAnsiTheme="minorHAnsi" w:cstheme="minorHAnsi"/>
                <w:sz w:val="24"/>
                <w:szCs w:val="24"/>
              </w:rPr>
              <w:t xml:space="preserve">Exceptional breadth and depth of knowledge and understanding of the area of study, </w:t>
            </w:r>
            <w:r w:rsidRPr="00563EE5">
              <w:rPr>
                <w:rFonts w:asciiTheme="minorHAnsi" w:hAnsiTheme="minorHAnsi" w:cstheme="minorHAnsi"/>
                <w:b/>
                <w:bCs/>
                <w:sz w:val="24"/>
                <w:szCs w:val="24"/>
              </w:rPr>
              <w:t>significantly beyond what has been taught in all areas</w:t>
            </w:r>
            <w:r w:rsidRPr="00563EE5">
              <w:rPr>
                <w:rFonts w:asciiTheme="minorHAnsi" w:hAnsiTheme="minorHAnsi" w:cstheme="minorHAnsi"/>
                <w:sz w:val="24"/>
                <w:szCs w:val="24"/>
              </w:rPr>
              <w:t>; evidence of extensive and appropriate selection and critical evaluation/synthesis/analysis and of reading/research beyond the prescribed range, in both breadth and depth, to advance work/direct arguments; excellent communication; performance beyond expectation. The ability to make decisions and carry out tasks/processes with autonomy; excellent leadership skills in group contexts; creative flair; extremely well-developed problem-solving skills; the ability to carry out sustained critical reflection on practical work within the wider context of industry/workplace. Fully meets expectations set by the industry/employment context.</w:t>
            </w:r>
          </w:p>
        </w:tc>
      </w:tr>
      <w:tr w:rsidR="004F0C65" w:rsidRPr="00563EE5" w14:paraId="025B4285" w14:textId="77777777" w:rsidTr="004F0C65">
        <w:trPr>
          <w:trHeight w:val="316"/>
          <w:jc w:val="center"/>
        </w:trPr>
        <w:tc>
          <w:tcPr>
            <w:tcW w:w="664" w:type="dxa"/>
            <w:vMerge w:val="restart"/>
            <w:tcBorders>
              <w:top w:val="double" w:sz="2" w:space="0" w:color="auto"/>
            </w:tcBorders>
            <w:vAlign w:val="center"/>
          </w:tcPr>
          <w:p w14:paraId="14136DAE" w14:textId="77777777" w:rsidR="004F0C65" w:rsidRPr="00563EE5" w:rsidRDefault="004F0C65" w:rsidP="006F387B">
            <w:pPr>
              <w:pStyle w:val="TableParagraph"/>
              <w:ind w:left="97"/>
              <w:rPr>
                <w:rFonts w:asciiTheme="minorHAnsi" w:hAnsiTheme="minorHAnsi" w:cstheme="minorHAnsi"/>
                <w:sz w:val="24"/>
                <w:szCs w:val="24"/>
              </w:rPr>
            </w:pPr>
            <w:r w:rsidRPr="00563EE5">
              <w:rPr>
                <w:rFonts w:asciiTheme="minorHAnsi" w:hAnsiTheme="minorHAnsi" w:cstheme="minorHAnsi"/>
                <w:sz w:val="24"/>
                <w:szCs w:val="24"/>
              </w:rPr>
              <w:t>1</w:t>
            </w:r>
            <w:r w:rsidRPr="00563EE5">
              <w:rPr>
                <w:rFonts w:asciiTheme="minorHAnsi" w:hAnsiTheme="minorHAnsi" w:cstheme="minorHAnsi"/>
                <w:sz w:val="24"/>
                <w:szCs w:val="24"/>
                <w:vertAlign w:val="superscript"/>
              </w:rPr>
              <w:t>st</w:t>
            </w:r>
          </w:p>
        </w:tc>
        <w:tc>
          <w:tcPr>
            <w:tcW w:w="1559" w:type="dxa"/>
            <w:vAlign w:val="center"/>
          </w:tcPr>
          <w:p w14:paraId="486356FF"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High 1st</w:t>
            </w:r>
          </w:p>
        </w:tc>
        <w:tc>
          <w:tcPr>
            <w:tcW w:w="12871" w:type="dxa"/>
            <w:vMerge w:val="restart"/>
            <w:vAlign w:val="center"/>
          </w:tcPr>
          <w:p w14:paraId="65E7A2BE" w14:textId="77777777" w:rsidR="004F0C65" w:rsidRPr="00563EE5" w:rsidRDefault="004F0C65" w:rsidP="006F387B">
            <w:pPr>
              <w:pStyle w:val="TableParagraph"/>
              <w:ind w:left="96" w:right="108"/>
              <w:rPr>
                <w:rFonts w:asciiTheme="minorHAnsi" w:hAnsiTheme="minorHAnsi" w:cstheme="minorHAnsi"/>
                <w:sz w:val="24"/>
                <w:szCs w:val="24"/>
              </w:rPr>
            </w:pPr>
            <w:r w:rsidRPr="00563EE5">
              <w:rPr>
                <w:rFonts w:asciiTheme="minorHAnsi" w:hAnsiTheme="minorHAnsi" w:cstheme="minorHAnsi"/>
                <w:sz w:val="24"/>
                <w:szCs w:val="24"/>
              </w:rPr>
              <w:t xml:space="preserve">Outstanding/excellent knowledge and understanding of the area of study as the student is </w:t>
            </w:r>
            <w:r w:rsidRPr="00563EE5">
              <w:rPr>
                <w:rFonts w:asciiTheme="minorHAnsi" w:hAnsiTheme="minorHAnsi" w:cstheme="minorHAnsi"/>
                <w:b/>
                <w:bCs/>
                <w:sz w:val="24"/>
                <w:szCs w:val="24"/>
              </w:rPr>
              <w:t>typically able to go beyond what has been taught (particularly for a mid/high 1st</w:t>
            </w:r>
            <w:r w:rsidRPr="00563EE5">
              <w:rPr>
                <w:rFonts w:asciiTheme="minorHAnsi" w:hAnsiTheme="minorHAnsi" w:cstheme="minorHAnsi"/>
                <w:sz w:val="24"/>
                <w:szCs w:val="24"/>
              </w:rPr>
              <w:t xml:space="preserve">); evidence of extensive and appropriate selection and critical evaluation/synthesis/analysis of reading/research </w:t>
            </w:r>
            <w:r w:rsidRPr="00563EE5">
              <w:rPr>
                <w:rFonts w:asciiTheme="minorHAnsi" w:hAnsiTheme="minorHAnsi" w:cstheme="minorHAnsi"/>
                <w:b/>
                <w:bCs/>
                <w:sz w:val="24"/>
                <w:szCs w:val="24"/>
              </w:rPr>
              <w:t>beyond the prescribed range</w:t>
            </w:r>
            <w:r w:rsidRPr="00563EE5">
              <w:rPr>
                <w:rFonts w:asciiTheme="minorHAnsi" w:hAnsiTheme="minorHAnsi" w:cstheme="minorHAnsi"/>
                <w:sz w:val="24"/>
                <w:szCs w:val="24"/>
              </w:rPr>
              <w:t>, to advance work/direct arguments; excellent communication; performance deemed beyond expectation of the level. The ability to make decisions and carry out tasks/processes with autonomy; creative flair and the ability to (re)interpret predefined rules/conventions to select and justify individual working practice; highly developed problem-solving skills; accuracy and fluency; excellent command of skills appropriate to the task; the ability to reflect critically on practical work within the wider context of industry/workplace. Broadly meets expectations set by the industry/employment context.</w:t>
            </w:r>
          </w:p>
        </w:tc>
      </w:tr>
      <w:tr w:rsidR="004F0C65" w:rsidRPr="00563EE5" w14:paraId="0EEA5D68" w14:textId="77777777" w:rsidTr="004F0C65">
        <w:trPr>
          <w:trHeight w:val="402"/>
          <w:jc w:val="center"/>
        </w:trPr>
        <w:tc>
          <w:tcPr>
            <w:tcW w:w="664" w:type="dxa"/>
            <w:vMerge/>
            <w:vAlign w:val="center"/>
          </w:tcPr>
          <w:p w14:paraId="0213A696" w14:textId="77777777" w:rsidR="004F0C65" w:rsidRPr="00563EE5" w:rsidRDefault="004F0C65" w:rsidP="006F387B">
            <w:pPr>
              <w:spacing w:after="0"/>
              <w:rPr>
                <w:rFonts w:cstheme="minorHAnsi"/>
                <w:sz w:val="24"/>
                <w:szCs w:val="24"/>
              </w:rPr>
            </w:pPr>
          </w:p>
        </w:tc>
        <w:tc>
          <w:tcPr>
            <w:tcW w:w="1559" w:type="dxa"/>
            <w:tcBorders>
              <w:bottom w:val="double" w:sz="2" w:space="0" w:color="auto"/>
            </w:tcBorders>
            <w:vAlign w:val="center"/>
          </w:tcPr>
          <w:p w14:paraId="46EA79CC"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Mid 1st</w:t>
            </w:r>
          </w:p>
        </w:tc>
        <w:tc>
          <w:tcPr>
            <w:tcW w:w="12871" w:type="dxa"/>
            <w:vMerge/>
            <w:vAlign w:val="center"/>
          </w:tcPr>
          <w:p w14:paraId="7CF6460D" w14:textId="77777777" w:rsidR="004F0C65" w:rsidRPr="00563EE5" w:rsidRDefault="004F0C65" w:rsidP="006F387B">
            <w:pPr>
              <w:spacing w:after="0"/>
              <w:rPr>
                <w:rFonts w:cstheme="minorHAnsi"/>
                <w:sz w:val="24"/>
                <w:szCs w:val="24"/>
              </w:rPr>
            </w:pPr>
          </w:p>
        </w:tc>
      </w:tr>
      <w:tr w:rsidR="004F0C65" w:rsidRPr="00563EE5" w14:paraId="0ED573D1" w14:textId="77777777" w:rsidTr="004F0C65">
        <w:trPr>
          <w:trHeight w:val="298"/>
          <w:jc w:val="center"/>
        </w:trPr>
        <w:tc>
          <w:tcPr>
            <w:tcW w:w="664" w:type="dxa"/>
            <w:vMerge/>
            <w:vAlign w:val="center"/>
          </w:tcPr>
          <w:p w14:paraId="500E1BD9" w14:textId="77777777" w:rsidR="004F0C65" w:rsidRPr="00563EE5" w:rsidRDefault="004F0C65" w:rsidP="006F387B">
            <w:pPr>
              <w:spacing w:after="0"/>
              <w:rPr>
                <w:rFonts w:cstheme="minorHAnsi"/>
                <w:sz w:val="24"/>
                <w:szCs w:val="24"/>
              </w:rPr>
            </w:pPr>
          </w:p>
        </w:tc>
        <w:tc>
          <w:tcPr>
            <w:tcW w:w="1559" w:type="dxa"/>
            <w:tcBorders>
              <w:top w:val="double" w:sz="2" w:space="0" w:color="auto"/>
            </w:tcBorders>
            <w:vAlign w:val="center"/>
          </w:tcPr>
          <w:p w14:paraId="484F2F18"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Low 1st</w:t>
            </w:r>
          </w:p>
        </w:tc>
        <w:tc>
          <w:tcPr>
            <w:tcW w:w="12871" w:type="dxa"/>
            <w:vMerge/>
            <w:vAlign w:val="center"/>
          </w:tcPr>
          <w:p w14:paraId="2F4540D8" w14:textId="77777777" w:rsidR="004F0C65" w:rsidRPr="00563EE5" w:rsidRDefault="004F0C65" w:rsidP="006F387B">
            <w:pPr>
              <w:spacing w:after="0"/>
              <w:rPr>
                <w:rFonts w:cstheme="minorHAnsi"/>
                <w:sz w:val="24"/>
                <w:szCs w:val="24"/>
              </w:rPr>
            </w:pPr>
          </w:p>
        </w:tc>
      </w:tr>
      <w:tr w:rsidR="004F0C65" w:rsidRPr="00563EE5" w14:paraId="3A10ABD5" w14:textId="77777777" w:rsidTr="004F0C65">
        <w:trPr>
          <w:trHeight w:val="325"/>
          <w:jc w:val="center"/>
        </w:trPr>
        <w:tc>
          <w:tcPr>
            <w:tcW w:w="664" w:type="dxa"/>
            <w:vMerge w:val="restart"/>
            <w:vAlign w:val="center"/>
          </w:tcPr>
          <w:p w14:paraId="2DC8C822" w14:textId="77777777" w:rsidR="004F0C65" w:rsidRPr="00563EE5" w:rsidRDefault="004F0C65" w:rsidP="006F387B">
            <w:pPr>
              <w:pStyle w:val="TableParagraph"/>
              <w:spacing w:line="276" w:lineRule="auto"/>
              <w:ind w:left="97"/>
              <w:rPr>
                <w:rFonts w:asciiTheme="minorHAnsi" w:hAnsiTheme="minorHAnsi" w:cstheme="minorHAnsi"/>
                <w:sz w:val="24"/>
                <w:szCs w:val="24"/>
                <w:highlight w:val="yellow"/>
              </w:rPr>
            </w:pPr>
            <w:r w:rsidRPr="00563EE5">
              <w:rPr>
                <w:rFonts w:asciiTheme="minorHAnsi" w:hAnsiTheme="minorHAnsi" w:cstheme="minorHAnsi"/>
                <w:sz w:val="24"/>
                <w:szCs w:val="24"/>
                <w:highlight w:val="yellow"/>
              </w:rPr>
              <w:t>2.1</w:t>
            </w:r>
          </w:p>
        </w:tc>
        <w:tc>
          <w:tcPr>
            <w:tcW w:w="1559" w:type="dxa"/>
            <w:vAlign w:val="center"/>
          </w:tcPr>
          <w:p w14:paraId="0AB28477" w14:textId="77777777" w:rsidR="004F0C65" w:rsidRPr="00563EE5" w:rsidRDefault="004F0C65" w:rsidP="006F387B">
            <w:pPr>
              <w:pStyle w:val="TableParagraph"/>
              <w:spacing w:before="2"/>
              <w:jc w:val="center"/>
              <w:rPr>
                <w:rFonts w:asciiTheme="minorHAnsi" w:hAnsiTheme="minorHAnsi" w:cstheme="minorHAnsi"/>
                <w:sz w:val="24"/>
                <w:szCs w:val="24"/>
              </w:rPr>
            </w:pPr>
            <w:r w:rsidRPr="00563EE5">
              <w:rPr>
                <w:rFonts w:asciiTheme="minorHAnsi" w:hAnsiTheme="minorHAnsi" w:cstheme="minorHAnsi"/>
                <w:sz w:val="24"/>
                <w:szCs w:val="24"/>
              </w:rPr>
              <w:t>High 2.1</w:t>
            </w:r>
          </w:p>
        </w:tc>
        <w:tc>
          <w:tcPr>
            <w:tcW w:w="12871" w:type="dxa"/>
            <w:vMerge w:val="restart"/>
            <w:vAlign w:val="center"/>
          </w:tcPr>
          <w:p w14:paraId="2BB0D60E" w14:textId="77777777" w:rsidR="004F0C65" w:rsidRPr="00563EE5" w:rsidRDefault="004F0C65" w:rsidP="006F387B">
            <w:pPr>
              <w:pStyle w:val="TableParagraph"/>
              <w:ind w:right="118"/>
              <w:rPr>
                <w:rFonts w:asciiTheme="minorHAnsi" w:hAnsiTheme="minorHAnsi" w:cstheme="minorHAnsi"/>
                <w:sz w:val="24"/>
                <w:szCs w:val="24"/>
              </w:rPr>
            </w:pPr>
            <w:r w:rsidRPr="00563EE5">
              <w:rPr>
                <w:rFonts w:asciiTheme="minorHAnsi" w:hAnsiTheme="minorHAnsi" w:cstheme="minorHAnsi"/>
                <w:sz w:val="24"/>
                <w:szCs w:val="24"/>
              </w:rPr>
              <w:t xml:space="preserve">Very good knowledge and understanding of the area of study as the student is </w:t>
            </w:r>
            <w:r w:rsidRPr="00563EE5">
              <w:rPr>
                <w:rFonts w:asciiTheme="minorHAnsi" w:hAnsiTheme="minorHAnsi" w:cstheme="minorHAnsi"/>
                <w:b/>
                <w:bCs/>
                <w:sz w:val="24"/>
                <w:szCs w:val="24"/>
              </w:rPr>
              <w:t>typically able to relate facts/concepts together with some ability to apply to known/taught contexts</w:t>
            </w:r>
            <w:r w:rsidRPr="00563EE5">
              <w:rPr>
                <w:rFonts w:asciiTheme="minorHAnsi" w:hAnsiTheme="minorHAnsi" w:cstheme="minorHAnsi"/>
                <w:sz w:val="24"/>
                <w:szCs w:val="24"/>
              </w:rPr>
              <w:t>; evidence of appropriate selection and evaluation of reading/research, some beyond the prescribed range, may rely on set sources to advance work/direct arguments; demonstrates autonomy in approach to learning; strong communication skills. Broadly autonomous completion of practical tasks/processes; ability to adapt in response to change or unexpected experiences; technical/artistic decision making is highly developed; a clear command of the skills relevant to the task/process; ability to reflect on practical work and set future goals within the wider context of industry/workplace. Adherence to standards set by the industry/employment context.</w:t>
            </w:r>
          </w:p>
        </w:tc>
      </w:tr>
      <w:tr w:rsidR="004F0C65" w:rsidRPr="00563EE5" w14:paraId="13AA06C8" w14:textId="77777777" w:rsidTr="004F0C65">
        <w:trPr>
          <w:trHeight w:val="325"/>
          <w:jc w:val="center"/>
        </w:trPr>
        <w:tc>
          <w:tcPr>
            <w:tcW w:w="664" w:type="dxa"/>
            <w:vMerge/>
            <w:tcBorders>
              <w:top w:val="nil"/>
            </w:tcBorders>
            <w:vAlign w:val="center"/>
          </w:tcPr>
          <w:p w14:paraId="2C9CCE91" w14:textId="77777777" w:rsidR="004F0C65" w:rsidRPr="00563EE5" w:rsidRDefault="004F0C65" w:rsidP="006F387B">
            <w:pPr>
              <w:spacing w:after="0"/>
              <w:rPr>
                <w:rFonts w:cstheme="minorHAnsi"/>
                <w:sz w:val="24"/>
                <w:szCs w:val="24"/>
              </w:rPr>
            </w:pPr>
          </w:p>
        </w:tc>
        <w:tc>
          <w:tcPr>
            <w:tcW w:w="1559" w:type="dxa"/>
            <w:vAlign w:val="center"/>
          </w:tcPr>
          <w:p w14:paraId="16AD4F65" w14:textId="77777777" w:rsidR="004F0C65" w:rsidRPr="00563EE5" w:rsidRDefault="004F0C65" w:rsidP="006F387B">
            <w:pPr>
              <w:pStyle w:val="TableParagraph"/>
              <w:jc w:val="center"/>
              <w:rPr>
                <w:rFonts w:asciiTheme="minorHAnsi" w:hAnsiTheme="minorHAnsi" w:cstheme="minorHAnsi"/>
                <w:sz w:val="24"/>
                <w:szCs w:val="24"/>
                <w:highlight w:val="yellow"/>
              </w:rPr>
            </w:pPr>
            <w:r w:rsidRPr="00563EE5">
              <w:rPr>
                <w:rFonts w:asciiTheme="minorHAnsi" w:hAnsiTheme="minorHAnsi" w:cstheme="minorHAnsi"/>
                <w:sz w:val="24"/>
                <w:szCs w:val="24"/>
                <w:highlight w:val="yellow"/>
              </w:rPr>
              <w:t>Mid 2.1</w:t>
            </w:r>
          </w:p>
        </w:tc>
        <w:tc>
          <w:tcPr>
            <w:tcW w:w="12871" w:type="dxa"/>
            <w:vMerge/>
            <w:tcBorders>
              <w:top w:val="nil"/>
            </w:tcBorders>
            <w:vAlign w:val="center"/>
          </w:tcPr>
          <w:p w14:paraId="488AE618" w14:textId="77777777" w:rsidR="004F0C65" w:rsidRPr="00563EE5" w:rsidRDefault="004F0C65" w:rsidP="006F387B">
            <w:pPr>
              <w:spacing w:after="0"/>
              <w:rPr>
                <w:rFonts w:cstheme="minorHAnsi"/>
                <w:sz w:val="24"/>
                <w:szCs w:val="24"/>
              </w:rPr>
            </w:pPr>
          </w:p>
        </w:tc>
      </w:tr>
      <w:tr w:rsidR="004F0C65" w:rsidRPr="00563EE5" w14:paraId="13812EA1" w14:textId="77777777" w:rsidTr="004F0C65">
        <w:trPr>
          <w:trHeight w:val="325"/>
          <w:jc w:val="center"/>
        </w:trPr>
        <w:tc>
          <w:tcPr>
            <w:tcW w:w="664" w:type="dxa"/>
            <w:vMerge/>
            <w:tcBorders>
              <w:top w:val="nil"/>
            </w:tcBorders>
            <w:vAlign w:val="center"/>
          </w:tcPr>
          <w:p w14:paraId="7CD2D4E2" w14:textId="77777777" w:rsidR="004F0C65" w:rsidRPr="00563EE5" w:rsidRDefault="004F0C65" w:rsidP="006F387B">
            <w:pPr>
              <w:spacing w:after="0"/>
              <w:rPr>
                <w:rFonts w:cstheme="minorHAnsi"/>
                <w:sz w:val="24"/>
                <w:szCs w:val="24"/>
              </w:rPr>
            </w:pPr>
          </w:p>
        </w:tc>
        <w:tc>
          <w:tcPr>
            <w:tcW w:w="1559" w:type="dxa"/>
            <w:vAlign w:val="center"/>
          </w:tcPr>
          <w:p w14:paraId="3F3DE514"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Low 2.1</w:t>
            </w:r>
          </w:p>
        </w:tc>
        <w:tc>
          <w:tcPr>
            <w:tcW w:w="12871" w:type="dxa"/>
            <w:vMerge/>
            <w:tcBorders>
              <w:top w:val="nil"/>
            </w:tcBorders>
            <w:vAlign w:val="center"/>
          </w:tcPr>
          <w:p w14:paraId="7BDE2011" w14:textId="77777777" w:rsidR="004F0C65" w:rsidRPr="00563EE5" w:rsidRDefault="004F0C65" w:rsidP="006F387B">
            <w:pPr>
              <w:spacing w:after="0"/>
              <w:rPr>
                <w:rFonts w:cstheme="minorHAnsi"/>
                <w:sz w:val="24"/>
                <w:szCs w:val="24"/>
              </w:rPr>
            </w:pPr>
          </w:p>
        </w:tc>
      </w:tr>
      <w:tr w:rsidR="004F0C65" w:rsidRPr="00563EE5" w14:paraId="1616D53E" w14:textId="77777777" w:rsidTr="004F0C65">
        <w:trPr>
          <w:trHeight w:val="325"/>
          <w:jc w:val="center"/>
        </w:trPr>
        <w:tc>
          <w:tcPr>
            <w:tcW w:w="664" w:type="dxa"/>
            <w:vMerge w:val="restart"/>
            <w:vAlign w:val="center"/>
          </w:tcPr>
          <w:p w14:paraId="5DE6931B" w14:textId="77777777" w:rsidR="004F0C65" w:rsidRPr="00563EE5" w:rsidRDefault="004F0C65" w:rsidP="006F387B">
            <w:pPr>
              <w:pStyle w:val="TableParagraph"/>
              <w:spacing w:line="276" w:lineRule="auto"/>
              <w:ind w:left="97"/>
              <w:rPr>
                <w:rFonts w:asciiTheme="minorHAnsi" w:hAnsiTheme="minorHAnsi" w:cstheme="minorHAnsi"/>
                <w:sz w:val="24"/>
                <w:szCs w:val="24"/>
              </w:rPr>
            </w:pPr>
            <w:r w:rsidRPr="00563EE5">
              <w:rPr>
                <w:rFonts w:asciiTheme="minorHAnsi" w:hAnsiTheme="minorHAnsi" w:cstheme="minorHAnsi"/>
                <w:sz w:val="24"/>
                <w:szCs w:val="24"/>
              </w:rPr>
              <w:t>2.2</w:t>
            </w:r>
          </w:p>
        </w:tc>
        <w:tc>
          <w:tcPr>
            <w:tcW w:w="1559" w:type="dxa"/>
            <w:vAlign w:val="center"/>
          </w:tcPr>
          <w:p w14:paraId="71A64A9F" w14:textId="77777777" w:rsidR="004F0C65" w:rsidRPr="00563EE5" w:rsidRDefault="004F0C65" w:rsidP="006F387B">
            <w:pPr>
              <w:pStyle w:val="TableParagraph"/>
              <w:spacing w:before="1"/>
              <w:jc w:val="center"/>
              <w:rPr>
                <w:rFonts w:asciiTheme="minorHAnsi" w:hAnsiTheme="minorHAnsi" w:cstheme="minorHAnsi"/>
                <w:sz w:val="24"/>
                <w:szCs w:val="24"/>
              </w:rPr>
            </w:pPr>
            <w:r w:rsidRPr="00563EE5">
              <w:rPr>
                <w:rFonts w:asciiTheme="minorHAnsi" w:hAnsiTheme="minorHAnsi" w:cstheme="minorHAnsi"/>
                <w:sz w:val="24"/>
                <w:szCs w:val="24"/>
              </w:rPr>
              <w:t>High 2.2</w:t>
            </w:r>
          </w:p>
        </w:tc>
        <w:tc>
          <w:tcPr>
            <w:tcW w:w="12871" w:type="dxa"/>
            <w:vMerge w:val="restart"/>
            <w:vAlign w:val="center"/>
          </w:tcPr>
          <w:p w14:paraId="246A1E3D" w14:textId="77777777" w:rsidR="004F0C65" w:rsidRPr="00563EE5" w:rsidRDefault="004F0C65" w:rsidP="006F387B">
            <w:pPr>
              <w:pStyle w:val="TableParagraph"/>
              <w:ind w:right="230"/>
              <w:rPr>
                <w:rFonts w:asciiTheme="minorHAnsi" w:hAnsiTheme="minorHAnsi" w:cstheme="minorHAnsi"/>
                <w:sz w:val="24"/>
                <w:szCs w:val="24"/>
              </w:rPr>
            </w:pPr>
            <w:r w:rsidRPr="00563EE5">
              <w:rPr>
                <w:rFonts w:asciiTheme="minorHAnsi" w:hAnsiTheme="minorHAnsi" w:cstheme="minorHAnsi"/>
                <w:sz w:val="24"/>
                <w:szCs w:val="24"/>
              </w:rPr>
              <w:t xml:space="preserve">Good knowledge and understanding of the area of </w:t>
            </w:r>
            <w:r w:rsidRPr="00563EE5">
              <w:rPr>
                <w:rFonts w:asciiTheme="minorHAnsi" w:hAnsiTheme="minorHAnsi" w:cstheme="minorHAnsi"/>
                <w:b/>
                <w:bCs/>
                <w:sz w:val="24"/>
                <w:szCs w:val="24"/>
              </w:rPr>
              <w:t>study balanced towards the descriptive rather than analytical</w:t>
            </w:r>
            <w:r w:rsidRPr="00563EE5">
              <w:rPr>
                <w:rFonts w:asciiTheme="minorHAnsi" w:hAnsiTheme="minorHAnsi" w:cstheme="minorHAnsi"/>
                <w:sz w:val="24"/>
                <w:szCs w:val="24"/>
              </w:rPr>
              <w:t xml:space="preserve">; evidence of appropriate selection and evaluation of reading/research but generally reliant on set sources to advance work/direct arguments; communication shows clarity, but structure may not always be coherent. A confident approach to practical tasks; a solid grasp of the related processes, tools, technology; creativity in the completion of the task; proficiency is demonstrated by an accurate and </w:t>
            </w:r>
            <w:r w:rsidRPr="00563EE5">
              <w:rPr>
                <w:rFonts w:asciiTheme="minorHAnsi" w:hAnsiTheme="minorHAnsi" w:cstheme="minorHAnsi"/>
                <w:sz w:val="24"/>
                <w:szCs w:val="24"/>
              </w:rPr>
              <w:lastRenderedPageBreak/>
              <w:t>coordinated performance; tasks are completed with a good level of independent thought; some autonomy is evident; an ability to reflect on practical work and set future goals. General adherence to standards set by the industry/employment context.</w:t>
            </w:r>
          </w:p>
        </w:tc>
      </w:tr>
      <w:tr w:rsidR="004F0C65" w:rsidRPr="00563EE5" w14:paraId="614B8C6F" w14:textId="77777777" w:rsidTr="004F0C65">
        <w:trPr>
          <w:trHeight w:val="325"/>
          <w:jc w:val="center"/>
        </w:trPr>
        <w:tc>
          <w:tcPr>
            <w:tcW w:w="664" w:type="dxa"/>
            <w:vMerge/>
            <w:tcBorders>
              <w:top w:val="nil"/>
            </w:tcBorders>
            <w:vAlign w:val="center"/>
          </w:tcPr>
          <w:p w14:paraId="04FF5F27" w14:textId="77777777" w:rsidR="004F0C65" w:rsidRPr="00563EE5" w:rsidRDefault="004F0C65" w:rsidP="006F387B">
            <w:pPr>
              <w:spacing w:after="0"/>
              <w:rPr>
                <w:rFonts w:cstheme="minorHAnsi"/>
                <w:sz w:val="24"/>
                <w:szCs w:val="24"/>
              </w:rPr>
            </w:pPr>
          </w:p>
        </w:tc>
        <w:tc>
          <w:tcPr>
            <w:tcW w:w="1559" w:type="dxa"/>
            <w:vAlign w:val="center"/>
          </w:tcPr>
          <w:p w14:paraId="53F2146A" w14:textId="77777777" w:rsidR="004F0C65" w:rsidRPr="00563EE5" w:rsidRDefault="004F0C65" w:rsidP="006F387B">
            <w:pPr>
              <w:pStyle w:val="TableParagraph"/>
              <w:spacing w:before="2"/>
              <w:jc w:val="center"/>
              <w:rPr>
                <w:rFonts w:asciiTheme="minorHAnsi" w:hAnsiTheme="minorHAnsi" w:cstheme="minorHAnsi"/>
                <w:sz w:val="24"/>
                <w:szCs w:val="24"/>
              </w:rPr>
            </w:pPr>
            <w:r w:rsidRPr="00563EE5">
              <w:rPr>
                <w:rFonts w:asciiTheme="minorHAnsi" w:hAnsiTheme="minorHAnsi" w:cstheme="minorHAnsi"/>
                <w:sz w:val="24"/>
                <w:szCs w:val="24"/>
              </w:rPr>
              <w:t>Mid 2.2</w:t>
            </w:r>
          </w:p>
        </w:tc>
        <w:tc>
          <w:tcPr>
            <w:tcW w:w="12871" w:type="dxa"/>
            <w:vMerge/>
            <w:tcBorders>
              <w:top w:val="nil"/>
            </w:tcBorders>
            <w:vAlign w:val="center"/>
          </w:tcPr>
          <w:p w14:paraId="44FAB701" w14:textId="77777777" w:rsidR="004F0C65" w:rsidRPr="00563EE5" w:rsidRDefault="004F0C65" w:rsidP="006F387B">
            <w:pPr>
              <w:spacing w:after="0"/>
              <w:rPr>
                <w:rFonts w:cstheme="minorHAnsi"/>
                <w:sz w:val="24"/>
                <w:szCs w:val="24"/>
              </w:rPr>
            </w:pPr>
          </w:p>
        </w:tc>
      </w:tr>
      <w:tr w:rsidR="004F0C65" w:rsidRPr="00563EE5" w14:paraId="5BF5105E" w14:textId="77777777" w:rsidTr="004F0C65">
        <w:trPr>
          <w:trHeight w:val="325"/>
          <w:jc w:val="center"/>
        </w:trPr>
        <w:tc>
          <w:tcPr>
            <w:tcW w:w="664" w:type="dxa"/>
            <w:vMerge/>
            <w:tcBorders>
              <w:top w:val="nil"/>
            </w:tcBorders>
            <w:vAlign w:val="center"/>
          </w:tcPr>
          <w:p w14:paraId="2A576DD2" w14:textId="77777777" w:rsidR="004F0C65" w:rsidRPr="00563EE5" w:rsidRDefault="004F0C65" w:rsidP="006F387B">
            <w:pPr>
              <w:spacing w:after="0"/>
              <w:rPr>
                <w:rFonts w:cstheme="minorHAnsi"/>
                <w:sz w:val="24"/>
                <w:szCs w:val="24"/>
              </w:rPr>
            </w:pPr>
          </w:p>
        </w:tc>
        <w:tc>
          <w:tcPr>
            <w:tcW w:w="1559" w:type="dxa"/>
            <w:vAlign w:val="center"/>
          </w:tcPr>
          <w:p w14:paraId="771CCF8D"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Low 2.2</w:t>
            </w:r>
          </w:p>
        </w:tc>
        <w:tc>
          <w:tcPr>
            <w:tcW w:w="12871" w:type="dxa"/>
            <w:vMerge/>
            <w:tcBorders>
              <w:top w:val="nil"/>
            </w:tcBorders>
            <w:vAlign w:val="center"/>
          </w:tcPr>
          <w:p w14:paraId="42874F2C" w14:textId="77777777" w:rsidR="004F0C65" w:rsidRPr="00563EE5" w:rsidRDefault="004F0C65" w:rsidP="006F387B">
            <w:pPr>
              <w:spacing w:after="0"/>
              <w:rPr>
                <w:rFonts w:cstheme="minorHAnsi"/>
                <w:sz w:val="24"/>
                <w:szCs w:val="24"/>
              </w:rPr>
            </w:pPr>
          </w:p>
        </w:tc>
      </w:tr>
      <w:tr w:rsidR="004F0C65" w:rsidRPr="00563EE5" w14:paraId="592D26AF" w14:textId="77777777" w:rsidTr="004F0C65">
        <w:trPr>
          <w:trHeight w:val="296"/>
          <w:jc w:val="center"/>
        </w:trPr>
        <w:tc>
          <w:tcPr>
            <w:tcW w:w="664" w:type="dxa"/>
            <w:vMerge w:val="restart"/>
            <w:vAlign w:val="center"/>
          </w:tcPr>
          <w:p w14:paraId="6381C7A1" w14:textId="77777777" w:rsidR="004F0C65" w:rsidRPr="00563EE5" w:rsidRDefault="004F0C65" w:rsidP="006F387B">
            <w:pPr>
              <w:pStyle w:val="TableParagraph"/>
              <w:rPr>
                <w:rFonts w:asciiTheme="minorHAnsi" w:hAnsiTheme="minorHAnsi" w:cstheme="minorHAnsi"/>
                <w:b/>
                <w:sz w:val="24"/>
                <w:szCs w:val="24"/>
              </w:rPr>
            </w:pPr>
          </w:p>
          <w:p w14:paraId="04D45165" w14:textId="77777777" w:rsidR="004F0C65" w:rsidRPr="00563EE5" w:rsidRDefault="004F0C65" w:rsidP="006F387B">
            <w:pPr>
              <w:pStyle w:val="TableParagraph"/>
              <w:ind w:left="97"/>
              <w:rPr>
                <w:rFonts w:asciiTheme="minorHAnsi" w:hAnsiTheme="minorHAnsi" w:cstheme="minorHAnsi"/>
                <w:sz w:val="24"/>
                <w:szCs w:val="24"/>
              </w:rPr>
            </w:pPr>
            <w:r w:rsidRPr="00563EE5">
              <w:rPr>
                <w:rFonts w:asciiTheme="minorHAnsi" w:hAnsiTheme="minorHAnsi" w:cstheme="minorHAnsi"/>
                <w:sz w:val="24"/>
                <w:szCs w:val="24"/>
              </w:rPr>
              <w:t>3</w:t>
            </w:r>
            <w:r w:rsidRPr="00563EE5">
              <w:rPr>
                <w:rFonts w:asciiTheme="minorHAnsi" w:hAnsiTheme="minorHAnsi" w:cstheme="minorHAnsi"/>
                <w:sz w:val="24"/>
                <w:szCs w:val="24"/>
                <w:vertAlign w:val="superscript"/>
              </w:rPr>
              <w:t>rd</w:t>
            </w:r>
          </w:p>
        </w:tc>
        <w:tc>
          <w:tcPr>
            <w:tcW w:w="1559" w:type="dxa"/>
            <w:vAlign w:val="center"/>
          </w:tcPr>
          <w:p w14:paraId="6043445D"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High 3rd</w:t>
            </w:r>
          </w:p>
        </w:tc>
        <w:tc>
          <w:tcPr>
            <w:tcW w:w="12871" w:type="dxa"/>
            <w:vMerge w:val="restart"/>
            <w:vAlign w:val="center"/>
          </w:tcPr>
          <w:p w14:paraId="6BB6A6E2" w14:textId="77777777" w:rsidR="004F0C65" w:rsidRPr="00563EE5" w:rsidRDefault="004F0C65" w:rsidP="006F387B">
            <w:pPr>
              <w:pStyle w:val="TableParagraph"/>
              <w:rPr>
                <w:rFonts w:asciiTheme="minorHAnsi" w:hAnsiTheme="minorHAnsi" w:cstheme="minorHAnsi"/>
                <w:sz w:val="24"/>
                <w:szCs w:val="24"/>
              </w:rPr>
            </w:pPr>
            <w:r w:rsidRPr="00563EE5">
              <w:rPr>
                <w:rFonts w:asciiTheme="minorHAnsi" w:hAnsiTheme="minorHAnsi" w:cstheme="minorHAnsi"/>
                <w:b/>
                <w:bCs/>
                <w:sz w:val="24"/>
                <w:szCs w:val="24"/>
              </w:rPr>
              <w:t>Knowledge and understanding sufficient to deal with terminology, basic facts and concepts</w:t>
            </w:r>
            <w:r w:rsidRPr="00563EE5">
              <w:rPr>
                <w:rFonts w:asciiTheme="minorHAnsi" w:hAnsiTheme="minorHAnsi" w:cstheme="minorHAnsi"/>
                <w:sz w:val="24"/>
                <w:szCs w:val="24"/>
              </w:rPr>
              <w:t xml:space="preserve"> but fails to make meaningful synthesis; some ability to select and evaluate reading/research however work may be more generally descriptive; strong reliance on available support set sources to advance work; arguments may be weak or poorly constructed; communication/presentation is generally competent but with some weaknesses. Competence in technical/artistic skills; tasks/processes are completed with a degree of proficiency and confidence; tasks are completed with a basic level of independent thought; effective judgements have been made; basic evaluation and analysis of performance in practical tasks is evident. Errors in workflow or completion of the task; general adherence to appropriate rules/conventions set by the industry/employment context.</w:t>
            </w:r>
          </w:p>
        </w:tc>
      </w:tr>
      <w:tr w:rsidR="004F0C65" w:rsidRPr="00563EE5" w14:paraId="4DC8871A" w14:textId="77777777" w:rsidTr="004F0C65">
        <w:trPr>
          <w:trHeight w:val="296"/>
          <w:jc w:val="center"/>
        </w:trPr>
        <w:tc>
          <w:tcPr>
            <w:tcW w:w="664" w:type="dxa"/>
            <w:vMerge/>
            <w:tcBorders>
              <w:top w:val="nil"/>
            </w:tcBorders>
            <w:vAlign w:val="center"/>
          </w:tcPr>
          <w:p w14:paraId="3431E7B5" w14:textId="77777777" w:rsidR="004F0C65" w:rsidRPr="00563EE5" w:rsidRDefault="004F0C65" w:rsidP="006F387B">
            <w:pPr>
              <w:spacing w:after="0"/>
              <w:rPr>
                <w:rFonts w:cstheme="minorHAnsi"/>
                <w:sz w:val="24"/>
                <w:szCs w:val="24"/>
              </w:rPr>
            </w:pPr>
          </w:p>
        </w:tc>
        <w:tc>
          <w:tcPr>
            <w:tcW w:w="1559" w:type="dxa"/>
            <w:vAlign w:val="center"/>
          </w:tcPr>
          <w:p w14:paraId="7992E650"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Mid 3rd</w:t>
            </w:r>
          </w:p>
        </w:tc>
        <w:tc>
          <w:tcPr>
            <w:tcW w:w="12871" w:type="dxa"/>
            <w:vMerge/>
            <w:tcBorders>
              <w:top w:val="nil"/>
            </w:tcBorders>
            <w:vAlign w:val="center"/>
          </w:tcPr>
          <w:p w14:paraId="2AA9C3C8" w14:textId="77777777" w:rsidR="004F0C65" w:rsidRPr="00563EE5" w:rsidRDefault="004F0C65" w:rsidP="006F387B">
            <w:pPr>
              <w:spacing w:after="0"/>
              <w:rPr>
                <w:rFonts w:cstheme="minorHAnsi"/>
                <w:sz w:val="24"/>
                <w:szCs w:val="24"/>
              </w:rPr>
            </w:pPr>
          </w:p>
        </w:tc>
      </w:tr>
      <w:tr w:rsidR="004F0C65" w:rsidRPr="00563EE5" w14:paraId="60922D85" w14:textId="77777777" w:rsidTr="004F0C65">
        <w:trPr>
          <w:trHeight w:val="296"/>
          <w:jc w:val="center"/>
        </w:trPr>
        <w:tc>
          <w:tcPr>
            <w:tcW w:w="664" w:type="dxa"/>
            <w:vMerge/>
            <w:tcBorders>
              <w:top w:val="nil"/>
            </w:tcBorders>
            <w:vAlign w:val="center"/>
          </w:tcPr>
          <w:p w14:paraId="20F3DA2C" w14:textId="77777777" w:rsidR="004F0C65" w:rsidRPr="00563EE5" w:rsidRDefault="004F0C65" w:rsidP="006F387B">
            <w:pPr>
              <w:spacing w:after="0"/>
              <w:rPr>
                <w:rFonts w:cstheme="minorHAnsi"/>
                <w:sz w:val="24"/>
                <w:szCs w:val="24"/>
              </w:rPr>
            </w:pPr>
          </w:p>
        </w:tc>
        <w:tc>
          <w:tcPr>
            <w:tcW w:w="1559" w:type="dxa"/>
            <w:vAlign w:val="center"/>
          </w:tcPr>
          <w:p w14:paraId="460588C6" w14:textId="77777777" w:rsidR="004F0C65" w:rsidRPr="00563EE5" w:rsidRDefault="004F0C65" w:rsidP="006F387B">
            <w:pPr>
              <w:pStyle w:val="TableParagraph"/>
              <w:spacing w:before="2"/>
              <w:jc w:val="center"/>
              <w:rPr>
                <w:rFonts w:asciiTheme="minorHAnsi" w:hAnsiTheme="minorHAnsi" w:cstheme="minorHAnsi"/>
                <w:sz w:val="24"/>
                <w:szCs w:val="24"/>
              </w:rPr>
            </w:pPr>
            <w:r w:rsidRPr="00563EE5">
              <w:rPr>
                <w:rFonts w:asciiTheme="minorHAnsi" w:hAnsiTheme="minorHAnsi" w:cstheme="minorHAnsi"/>
                <w:sz w:val="24"/>
                <w:szCs w:val="24"/>
              </w:rPr>
              <w:t>Low 3rd</w:t>
            </w:r>
          </w:p>
        </w:tc>
        <w:tc>
          <w:tcPr>
            <w:tcW w:w="12871" w:type="dxa"/>
            <w:vMerge/>
            <w:tcBorders>
              <w:top w:val="nil"/>
            </w:tcBorders>
            <w:vAlign w:val="center"/>
          </w:tcPr>
          <w:p w14:paraId="5256A203" w14:textId="77777777" w:rsidR="004F0C65" w:rsidRPr="00563EE5" w:rsidRDefault="004F0C65" w:rsidP="006F387B">
            <w:pPr>
              <w:spacing w:after="0"/>
              <w:rPr>
                <w:rFonts w:cstheme="minorHAnsi"/>
                <w:sz w:val="24"/>
                <w:szCs w:val="24"/>
              </w:rPr>
            </w:pPr>
          </w:p>
        </w:tc>
      </w:tr>
      <w:tr w:rsidR="004F0C65" w:rsidRPr="00563EE5" w14:paraId="357B0E50" w14:textId="77777777" w:rsidTr="004F0C65">
        <w:trPr>
          <w:trHeight w:val="433"/>
          <w:jc w:val="center"/>
        </w:trPr>
        <w:tc>
          <w:tcPr>
            <w:tcW w:w="664" w:type="dxa"/>
            <w:vMerge w:val="restart"/>
            <w:vAlign w:val="center"/>
          </w:tcPr>
          <w:p w14:paraId="62E93EC0" w14:textId="77777777" w:rsidR="004F0C65" w:rsidRPr="00563EE5" w:rsidRDefault="004F0C65" w:rsidP="006F387B">
            <w:pPr>
              <w:pStyle w:val="TableParagraph"/>
              <w:rPr>
                <w:rFonts w:asciiTheme="minorHAnsi" w:hAnsiTheme="minorHAnsi" w:cstheme="minorHAnsi"/>
                <w:b/>
                <w:sz w:val="24"/>
                <w:szCs w:val="24"/>
              </w:rPr>
            </w:pPr>
          </w:p>
          <w:p w14:paraId="29193A1F" w14:textId="77777777" w:rsidR="004F0C65" w:rsidRPr="00563EE5" w:rsidRDefault="004F0C65" w:rsidP="006F387B">
            <w:pPr>
              <w:pStyle w:val="TableParagraph"/>
              <w:rPr>
                <w:rFonts w:asciiTheme="minorHAnsi" w:hAnsiTheme="minorHAnsi" w:cstheme="minorHAnsi"/>
                <w:b/>
                <w:sz w:val="24"/>
                <w:szCs w:val="24"/>
              </w:rPr>
            </w:pPr>
          </w:p>
          <w:p w14:paraId="47D78018" w14:textId="77777777" w:rsidR="004F0C65" w:rsidRPr="00563EE5" w:rsidRDefault="004F0C65" w:rsidP="006F387B">
            <w:pPr>
              <w:pStyle w:val="TableParagraph"/>
              <w:ind w:left="97"/>
              <w:rPr>
                <w:rFonts w:asciiTheme="minorHAnsi" w:hAnsiTheme="minorHAnsi" w:cstheme="minorHAnsi"/>
                <w:sz w:val="24"/>
                <w:szCs w:val="24"/>
              </w:rPr>
            </w:pPr>
            <w:r w:rsidRPr="00563EE5">
              <w:rPr>
                <w:rFonts w:asciiTheme="minorHAnsi" w:hAnsiTheme="minorHAnsi" w:cstheme="minorHAnsi"/>
                <w:sz w:val="24"/>
                <w:szCs w:val="24"/>
              </w:rPr>
              <w:t>FAIL</w:t>
            </w:r>
          </w:p>
          <w:p w14:paraId="3159E17A" w14:textId="77777777" w:rsidR="004F0C65" w:rsidRPr="00563EE5" w:rsidRDefault="004F0C65" w:rsidP="006F387B">
            <w:pPr>
              <w:pStyle w:val="TableParagraph"/>
              <w:ind w:left="97"/>
              <w:rPr>
                <w:rFonts w:asciiTheme="minorHAnsi" w:hAnsiTheme="minorHAnsi" w:cstheme="minorHAnsi"/>
                <w:sz w:val="24"/>
                <w:szCs w:val="24"/>
              </w:rPr>
            </w:pPr>
          </w:p>
        </w:tc>
        <w:tc>
          <w:tcPr>
            <w:tcW w:w="1559" w:type="dxa"/>
            <w:vAlign w:val="center"/>
          </w:tcPr>
          <w:p w14:paraId="602BC71B"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Borderline Fail</w:t>
            </w:r>
          </w:p>
        </w:tc>
        <w:tc>
          <w:tcPr>
            <w:tcW w:w="12871" w:type="dxa"/>
            <w:vMerge w:val="restart"/>
            <w:vAlign w:val="center"/>
          </w:tcPr>
          <w:p w14:paraId="4254422A" w14:textId="77777777" w:rsidR="004F0C65" w:rsidRPr="00563EE5" w:rsidRDefault="004F0C65" w:rsidP="006F387B">
            <w:pPr>
              <w:pStyle w:val="TableParagraph"/>
              <w:ind w:right="244"/>
              <w:rPr>
                <w:rFonts w:asciiTheme="minorHAnsi" w:hAnsiTheme="minorHAnsi" w:cstheme="minorHAnsi"/>
                <w:sz w:val="24"/>
                <w:szCs w:val="24"/>
              </w:rPr>
            </w:pPr>
            <w:r w:rsidRPr="00563EE5">
              <w:rPr>
                <w:rFonts w:asciiTheme="minorHAnsi" w:hAnsiTheme="minorHAnsi" w:cstheme="minorHAnsi"/>
                <w:sz w:val="24"/>
                <w:szCs w:val="24"/>
              </w:rPr>
              <w:t xml:space="preserve">Insufficient knowledge and understanding of the subject and its underlying concepts; </w:t>
            </w:r>
            <w:r w:rsidRPr="00563EE5">
              <w:rPr>
                <w:rFonts w:asciiTheme="minorHAnsi" w:hAnsiTheme="minorHAnsi" w:cstheme="minorHAnsi"/>
                <w:b/>
                <w:bCs/>
                <w:sz w:val="24"/>
                <w:szCs w:val="24"/>
              </w:rPr>
              <w:t>some ability to evaluate given reading/research however work is more generally descriptive; naively follows or may ignore set material in development of work</w:t>
            </w:r>
            <w:r w:rsidRPr="00563EE5">
              <w:rPr>
                <w:rFonts w:asciiTheme="minorHAnsi" w:hAnsiTheme="minorHAnsi" w:cstheme="minorHAnsi"/>
                <w:sz w:val="24"/>
                <w:szCs w:val="24"/>
              </w:rPr>
              <w:t>; given brief may be only tangentially addressed or may ignore key aspects of the brief; communication shows limited clarity, poor presentation, structure may not be coherent. Practical tasks are attempted; skill displayed in some areas; there are a significant number of errors; a lack of proficiency in most areas; guidance may be needed to reproduce aspects of the task and/or apply learned skills. Tasks may be incomplete; failure to adhere to some of the rules/conventions set by the industry/employment context.</w:t>
            </w:r>
          </w:p>
        </w:tc>
      </w:tr>
      <w:tr w:rsidR="004F0C65" w:rsidRPr="00563EE5" w14:paraId="6DB1902E" w14:textId="77777777" w:rsidTr="004F0C65">
        <w:trPr>
          <w:trHeight w:val="286"/>
          <w:jc w:val="center"/>
        </w:trPr>
        <w:tc>
          <w:tcPr>
            <w:tcW w:w="664" w:type="dxa"/>
            <w:vMerge/>
            <w:vAlign w:val="center"/>
          </w:tcPr>
          <w:p w14:paraId="4CE0F0B9" w14:textId="77777777" w:rsidR="004F0C65" w:rsidRPr="00563EE5" w:rsidRDefault="004F0C65" w:rsidP="006F387B">
            <w:pPr>
              <w:pStyle w:val="TableParagraph"/>
              <w:rPr>
                <w:rFonts w:asciiTheme="minorHAnsi" w:hAnsiTheme="minorHAnsi" w:cstheme="minorHAnsi"/>
                <w:b/>
                <w:sz w:val="24"/>
                <w:szCs w:val="24"/>
              </w:rPr>
            </w:pPr>
          </w:p>
        </w:tc>
        <w:tc>
          <w:tcPr>
            <w:tcW w:w="1559" w:type="dxa"/>
            <w:tcBorders>
              <w:bottom w:val="double" w:sz="2" w:space="0" w:color="auto"/>
            </w:tcBorders>
            <w:vAlign w:val="center"/>
          </w:tcPr>
          <w:p w14:paraId="6C7FC4FE"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Mid Fail</w:t>
            </w:r>
          </w:p>
        </w:tc>
        <w:tc>
          <w:tcPr>
            <w:tcW w:w="12871" w:type="dxa"/>
            <w:vMerge/>
            <w:vAlign w:val="center"/>
          </w:tcPr>
          <w:p w14:paraId="4E3F4E74" w14:textId="77777777" w:rsidR="004F0C65" w:rsidRPr="00563EE5" w:rsidRDefault="004F0C65" w:rsidP="006F387B">
            <w:pPr>
              <w:pStyle w:val="TableParagraph"/>
              <w:ind w:right="244"/>
              <w:rPr>
                <w:rFonts w:asciiTheme="minorHAnsi" w:hAnsiTheme="minorHAnsi" w:cstheme="minorHAnsi"/>
                <w:sz w:val="24"/>
                <w:szCs w:val="24"/>
              </w:rPr>
            </w:pPr>
          </w:p>
        </w:tc>
      </w:tr>
      <w:tr w:rsidR="004F0C65" w:rsidRPr="00563EE5" w14:paraId="0290C91B" w14:textId="77777777" w:rsidTr="004F0C65">
        <w:trPr>
          <w:trHeight w:val="368"/>
          <w:jc w:val="center"/>
        </w:trPr>
        <w:tc>
          <w:tcPr>
            <w:tcW w:w="664" w:type="dxa"/>
            <w:vMerge/>
            <w:tcBorders>
              <w:bottom w:val="double" w:sz="2" w:space="0" w:color="auto"/>
            </w:tcBorders>
            <w:vAlign w:val="center"/>
          </w:tcPr>
          <w:p w14:paraId="4FF51EF5" w14:textId="77777777" w:rsidR="004F0C65" w:rsidRPr="00563EE5" w:rsidRDefault="004F0C65" w:rsidP="006F387B">
            <w:pPr>
              <w:pStyle w:val="TableParagraph"/>
              <w:rPr>
                <w:rFonts w:asciiTheme="minorHAnsi" w:hAnsiTheme="minorHAnsi" w:cstheme="minorHAnsi"/>
                <w:b/>
                <w:sz w:val="24"/>
                <w:szCs w:val="24"/>
              </w:rPr>
            </w:pPr>
          </w:p>
        </w:tc>
        <w:tc>
          <w:tcPr>
            <w:tcW w:w="1559" w:type="dxa"/>
            <w:tcBorders>
              <w:top w:val="double" w:sz="2" w:space="0" w:color="auto"/>
            </w:tcBorders>
            <w:vAlign w:val="center"/>
          </w:tcPr>
          <w:p w14:paraId="09B18CBA"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Low Fail</w:t>
            </w:r>
          </w:p>
        </w:tc>
        <w:tc>
          <w:tcPr>
            <w:tcW w:w="12871" w:type="dxa"/>
            <w:vMerge/>
            <w:tcBorders>
              <w:bottom w:val="double" w:sz="2" w:space="0" w:color="000000"/>
            </w:tcBorders>
            <w:vAlign w:val="center"/>
          </w:tcPr>
          <w:p w14:paraId="22611C8B" w14:textId="77777777" w:rsidR="004F0C65" w:rsidRPr="00563EE5" w:rsidRDefault="004F0C65" w:rsidP="006F387B">
            <w:pPr>
              <w:pStyle w:val="TableParagraph"/>
              <w:ind w:right="244"/>
              <w:rPr>
                <w:rFonts w:asciiTheme="minorHAnsi" w:hAnsiTheme="minorHAnsi" w:cstheme="minorHAnsi"/>
                <w:sz w:val="24"/>
                <w:szCs w:val="24"/>
              </w:rPr>
            </w:pPr>
          </w:p>
        </w:tc>
      </w:tr>
      <w:tr w:rsidR="004F0C65" w:rsidRPr="00563EE5" w14:paraId="7F083D62" w14:textId="77777777" w:rsidTr="004F0C65">
        <w:trPr>
          <w:trHeight w:val="1017"/>
          <w:jc w:val="center"/>
        </w:trPr>
        <w:tc>
          <w:tcPr>
            <w:tcW w:w="664" w:type="dxa"/>
            <w:tcBorders>
              <w:top w:val="double" w:sz="2" w:space="0" w:color="auto"/>
            </w:tcBorders>
            <w:shd w:val="clear" w:color="auto" w:fill="FFFFFF" w:themeFill="background1"/>
            <w:vAlign w:val="center"/>
          </w:tcPr>
          <w:p w14:paraId="077FC4AA" w14:textId="77777777" w:rsidR="004F0C65" w:rsidRPr="00563EE5" w:rsidRDefault="004F0C65" w:rsidP="006F387B">
            <w:pPr>
              <w:spacing w:after="0"/>
              <w:ind w:left="184" w:hanging="142"/>
              <w:rPr>
                <w:rFonts w:cstheme="minorHAnsi"/>
                <w:sz w:val="24"/>
                <w:szCs w:val="24"/>
              </w:rPr>
            </w:pPr>
            <w:r w:rsidRPr="00563EE5">
              <w:rPr>
                <w:rFonts w:cstheme="minorHAnsi"/>
                <w:sz w:val="24"/>
                <w:szCs w:val="24"/>
              </w:rPr>
              <w:t>FAIL</w:t>
            </w:r>
          </w:p>
        </w:tc>
        <w:tc>
          <w:tcPr>
            <w:tcW w:w="1559" w:type="dxa"/>
            <w:tcBorders>
              <w:top w:val="double" w:sz="2" w:space="0" w:color="000000"/>
            </w:tcBorders>
            <w:shd w:val="clear" w:color="auto" w:fill="FFFFFF" w:themeFill="background1"/>
            <w:vAlign w:val="center"/>
          </w:tcPr>
          <w:p w14:paraId="4BA8558C"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Very Low Fail</w:t>
            </w:r>
          </w:p>
        </w:tc>
        <w:tc>
          <w:tcPr>
            <w:tcW w:w="12871" w:type="dxa"/>
            <w:tcBorders>
              <w:top w:val="double" w:sz="2" w:space="0" w:color="000000"/>
            </w:tcBorders>
            <w:shd w:val="clear" w:color="auto" w:fill="FFFFFF" w:themeFill="background1"/>
            <w:vAlign w:val="center"/>
          </w:tcPr>
          <w:p w14:paraId="151FC654" w14:textId="77777777" w:rsidR="004F0C65" w:rsidRPr="00563EE5" w:rsidRDefault="004F0C65" w:rsidP="006F387B">
            <w:pPr>
              <w:pStyle w:val="TableParagraph"/>
              <w:ind w:right="244"/>
              <w:rPr>
                <w:rFonts w:asciiTheme="minorHAnsi" w:hAnsiTheme="minorHAnsi" w:cstheme="minorHAnsi"/>
                <w:sz w:val="24"/>
                <w:szCs w:val="24"/>
              </w:rPr>
            </w:pPr>
            <w:r w:rsidRPr="00563EE5">
              <w:rPr>
                <w:rFonts w:asciiTheme="minorHAnsi" w:hAnsiTheme="minorHAnsi" w:cstheme="minorHAnsi"/>
                <w:sz w:val="24"/>
                <w:szCs w:val="24"/>
              </w:rPr>
              <w:t xml:space="preserve">No evidence of knowledge or understanding of the subject; </w:t>
            </w:r>
            <w:r w:rsidRPr="00563EE5">
              <w:rPr>
                <w:rFonts w:asciiTheme="minorHAnsi" w:hAnsiTheme="minorHAnsi" w:cstheme="minorHAnsi"/>
                <w:b/>
                <w:bCs/>
                <w:sz w:val="24"/>
                <w:szCs w:val="24"/>
              </w:rPr>
              <w:t>no understanding of taught concepts, with facts being reproduced in a disjointed or decontextualised manner</w:t>
            </w:r>
            <w:r w:rsidRPr="00563EE5">
              <w:rPr>
                <w:rFonts w:asciiTheme="minorHAnsi" w:hAnsiTheme="minorHAnsi" w:cstheme="minorHAnsi"/>
                <w:sz w:val="24"/>
                <w:szCs w:val="24"/>
              </w:rPr>
              <w:t>; ignores set material in development of work; fails to address the requirements of the brief; lacks basic communication skills. A general level of incompetency in practical tasks; an evident lack of practice; set tasks are not completed; few or no skills relating to tasks are evident. No adherence to rules/conventions set by the industry/employment context.</w:t>
            </w:r>
          </w:p>
        </w:tc>
      </w:tr>
      <w:tr w:rsidR="004F0C65" w:rsidRPr="00563EE5" w14:paraId="5F5C2EB6" w14:textId="77777777" w:rsidTr="004F0C65">
        <w:trPr>
          <w:trHeight w:val="392"/>
          <w:jc w:val="center"/>
        </w:trPr>
        <w:tc>
          <w:tcPr>
            <w:tcW w:w="664" w:type="dxa"/>
            <w:shd w:val="clear" w:color="auto" w:fill="FFFFFF" w:themeFill="background1"/>
            <w:vAlign w:val="center"/>
          </w:tcPr>
          <w:p w14:paraId="7A27D3A1" w14:textId="77777777" w:rsidR="004F0C65" w:rsidRPr="00563EE5" w:rsidRDefault="004F0C65" w:rsidP="006F387B">
            <w:pPr>
              <w:pStyle w:val="TableParagraph"/>
              <w:spacing w:before="17"/>
              <w:ind w:left="97"/>
              <w:rPr>
                <w:rFonts w:asciiTheme="minorHAnsi" w:hAnsiTheme="minorHAnsi" w:cstheme="minorHAnsi"/>
                <w:sz w:val="24"/>
                <w:szCs w:val="24"/>
              </w:rPr>
            </w:pPr>
            <w:r w:rsidRPr="00563EE5">
              <w:rPr>
                <w:rFonts w:asciiTheme="minorHAnsi" w:hAnsiTheme="minorHAnsi" w:cstheme="minorHAnsi"/>
                <w:sz w:val="24"/>
                <w:szCs w:val="24"/>
              </w:rPr>
              <w:t>ZERO</w:t>
            </w:r>
          </w:p>
        </w:tc>
        <w:tc>
          <w:tcPr>
            <w:tcW w:w="1559" w:type="dxa"/>
            <w:shd w:val="clear" w:color="auto" w:fill="FFFFFF" w:themeFill="background1"/>
            <w:vAlign w:val="center"/>
          </w:tcPr>
          <w:p w14:paraId="64EED194" w14:textId="77777777" w:rsidR="004F0C65" w:rsidRPr="00563EE5" w:rsidRDefault="004F0C65" w:rsidP="006F387B">
            <w:pPr>
              <w:pStyle w:val="TableParagraph"/>
              <w:jc w:val="center"/>
              <w:rPr>
                <w:rFonts w:asciiTheme="minorHAnsi" w:hAnsiTheme="minorHAnsi" w:cstheme="minorHAnsi"/>
                <w:sz w:val="24"/>
                <w:szCs w:val="24"/>
              </w:rPr>
            </w:pPr>
            <w:r w:rsidRPr="00563EE5">
              <w:rPr>
                <w:rFonts w:asciiTheme="minorHAnsi" w:hAnsiTheme="minorHAnsi" w:cstheme="minorHAnsi"/>
                <w:sz w:val="24"/>
                <w:szCs w:val="24"/>
              </w:rPr>
              <w:t>Zero</w:t>
            </w:r>
          </w:p>
        </w:tc>
        <w:tc>
          <w:tcPr>
            <w:tcW w:w="12871" w:type="dxa"/>
            <w:shd w:val="clear" w:color="auto" w:fill="FFFFFF" w:themeFill="background1"/>
            <w:vAlign w:val="center"/>
          </w:tcPr>
          <w:p w14:paraId="2D1D7D49" w14:textId="77777777" w:rsidR="004F0C65" w:rsidRPr="00563EE5" w:rsidRDefault="004F0C65" w:rsidP="006F387B">
            <w:pPr>
              <w:pStyle w:val="TableParagraph"/>
              <w:rPr>
                <w:rFonts w:asciiTheme="minorHAnsi" w:hAnsiTheme="minorHAnsi" w:cstheme="minorHAnsi"/>
                <w:sz w:val="24"/>
                <w:szCs w:val="24"/>
              </w:rPr>
            </w:pPr>
            <w:r w:rsidRPr="00563EE5">
              <w:rPr>
                <w:rFonts w:asciiTheme="minorHAnsi" w:hAnsiTheme="minorHAnsi" w:cstheme="minorHAnsi"/>
                <w:sz w:val="24"/>
                <w:szCs w:val="24"/>
              </w:rPr>
              <w:t>Work not submitted, work of no merit, penalty in some misconduct cases.</w:t>
            </w:r>
          </w:p>
        </w:tc>
      </w:tr>
    </w:tbl>
    <w:p w14:paraId="6E78EA1C" w14:textId="77777777" w:rsidR="00C468AD" w:rsidRPr="00563EE5" w:rsidRDefault="00C468AD" w:rsidP="00C468AD">
      <w:pPr>
        <w:spacing w:after="0" w:line="240" w:lineRule="auto"/>
        <w:rPr>
          <w:rFonts w:cstheme="minorHAnsi"/>
          <w:sz w:val="24"/>
          <w:szCs w:val="24"/>
        </w:rPr>
      </w:pPr>
    </w:p>
    <w:p w14:paraId="2FBA26E3" w14:textId="77777777" w:rsidR="00C468AD" w:rsidRPr="008619CC" w:rsidRDefault="00C468AD" w:rsidP="00C468AD">
      <w:pPr>
        <w:rPr>
          <w:sz w:val="24"/>
          <w:szCs w:val="24"/>
          <w:u w:val="single"/>
        </w:rPr>
      </w:pPr>
    </w:p>
    <w:p w14:paraId="1372AFE7" w14:textId="77777777" w:rsidR="00C468AD" w:rsidRDefault="00C468AD" w:rsidP="00C468AD">
      <w:pPr>
        <w:rPr>
          <w:sz w:val="24"/>
          <w:szCs w:val="24"/>
          <w:u w:val="single"/>
        </w:rPr>
      </w:pPr>
    </w:p>
    <w:p w14:paraId="18F614B2" w14:textId="77777777" w:rsidR="00C468AD" w:rsidRDefault="00C468AD"/>
    <w:sectPr w:rsidR="00C468AD" w:rsidSect="00C468AD">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F9D0" w14:textId="77777777" w:rsidR="00B376FA" w:rsidRDefault="00B376FA">
      <w:pPr>
        <w:spacing w:after="0" w:line="240" w:lineRule="auto"/>
      </w:pPr>
      <w:r>
        <w:separator/>
      </w:r>
    </w:p>
  </w:endnote>
  <w:endnote w:type="continuationSeparator" w:id="0">
    <w:p w14:paraId="3D7438F7" w14:textId="77777777" w:rsidR="00B376FA" w:rsidRDefault="00B3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4346" w14:textId="2B117A3F" w:rsidR="00A227FB" w:rsidRPr="00F27628" w:rsidRDefault="00A227FB" w:rsidP="00054849">
    <w:pPr>
      <w:pStyle w:val="Footer"/>
      <w:jc w:val="righ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2EF6C" w14:textId="77777777" w:rsidR="00B376FA" w:rsidRDefault="00B376FA">
      <w:pPr>
        <w:spacing w:after="0" w:line="240" w:lineRule="auto"/>
      </w:pPr>
      <w:r>
        <w:separator/>
      </w:r>
    </w:p>
  </w:footnote>
  <w:footnote w:type="continuationSeparator" w:id="0">
    <w:p w14:paraId="52300352" w14:textId="77777777" w:rsidR="00B376FA" w:rsidRDefault="00B37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4563" w14:textId="7FB87973" w:rsidR="003A27C7" w:rsidRDefault="003A27C7">
    <w:pPr>
      <w:pStyle w:val="Header"/>
    </w:pPr>
    <w:r>
      <w:t>Revised UGD3 – to be implemented for new delivery from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DBD"/>
    <w:multiLevelType w:val="hybridMultilevel"/>
    <w:tmpl w:val="A6409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67E45"/>
    <w:multiLevelType w:val="hybridMultilevel"/>
    <w:tmpl w:val="CE0E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75A77"/>
    <w:multiLevelType w:val="hybridMultilevel"/>
    <w:tmpl w:val="BCBA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F29BE"/>
    <w:multiLevelType w:val="hybridMultilevel"/>
    <w:tmpl w:val="1D661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A3D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A1F34"/>
    <w:multiLevelType w:val="hybridMultilevel"/>
    <w:tmpl w:val="7FC07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F0C89"/>
    <w:multiLevelType w:val="hybridMultilevel"/>
    <w:tmpl w:val="0DDE83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E5F33"/>
    <w:multiLevelType w:val="hybridMultilevel"/>
    <w:tmpl w:val="F4749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F43BC"/>
    <w:multiLevelType w:val="hybridMultilevel"/>
    <w:tmpl w:val="9F560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B42132"/>
    <w:multiLevelType w:val="hybridMultilevel"/>
    <w:tmpl w:val="057012D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221BFF"/>
    <w:multiLevelType w:val="hybridMultilevel"/>
    <w:tmpl w:val="E0C235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A64B05"/>
    <w:multiLevelType w:val="hybridMultilevel"/>
    <w:tmpl w:val="9E8A9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6C0945"/>
    <w:multiLevelType w:val="hybridMultilevel"/>
    <w:tmpl w:val="9F087E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1743F"/>
    <w:multiLevelType w:val="hybridMultilevel"/>
    <w:tmpl w:val="A61A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F0572"/>
    <w:multiLevelType w:val="multilevel"/>
    <w:tmpl w:val="188AC6E0"/>
    <w:lvl w:ilvl="0">
      <w:start w:val="28"/>
      <w:numFmt w:val="decimal"/>
      <w:lvlText w:val="%1"/>
      <w:lvlJc w:val="left"/>
      <w:pPr>
        <w:ind w:left="550" w:hanging="550"/>
      </w:pPr>
      <w:rPr>
        <w:rFonts w:hint="default"/>
      </w:rPr>
    </w:lvl>
    <w:lvl w:ilvl="1">
      <w:start w:val="30"/>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34181C"/>
    <w:multiLevelType w:val="hybridMultilevel"/>
    <w:tmpl w:val="4DFC2C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C15BA"/>
    <w:multiLevelType w:val="hybridMultilevel"/>
    <w:tmpl w:val="9B1E53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FE15C0"/>
    <w:multiLevelType w:val="hybridMultilevel"/>
    <w:tmpl w:val="569048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245D2A"/>
    <w:multiLevelType w:val="hybridMultilevel"/>
    <w:tmpl w:val="B91296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7A0B73"/>
    <w:multiLevelType w:val="hybridMultilevel"/>
    <w:tmpl w:val="1B34F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2C4DB7"/>
    <w:multiLevelType w:val="hybridMultilevel"/>
    <w:tmpl w:val="70DADD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CC3216"/>
    <w:multiLevelType w:val="hybridMultilevel"/>
    <w:tmpl w:val="C12A170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DF7C79"/>
    <w:multiLevelType w:val="hybridMultilevel"/>
    <w:tmpl w:val="EE76B3EE"/>
    <w:lvl w:ilvl="0" w:tplc="36E20BF8">
      <w:start w:val="1"/>
      <w:numFmt w:val="bullet"/>
      <w:lvlText w:val="•"/>
      <w:lvlJc w:val="left"/>
      <w:pPr>
        <w:tabs>
          <w:tab w:val="num" w:pos="720"/>
        </w:tabs>
        <w:ind w:left="720" w:hanging="360"/>
      </w:pPr>
      <w:rPr>
        <w:rFonts w:ascii="Arial" w:hAnsi="Arial" w:hint="default"/>
      </w:rPr>
    </w:lvl>
    <w:lvl w:ilvl="1" w:tplc="7736C320" w:tentative="1">
      <w:start w:val="1"/>
      <w:numFmt w:val="bullet"/>
      <w:lvlText w:val="•"/>
      <w:lvlJc w:val="left"/>
      <w:pPr>
        <w:tabs>
          <w:tab w:val="num" w:pos="1440"/>
        </w:tabs>
        <w:ind w:left="1440" w:hanging="360"/>
      </w:pPr>
      <w:rPr>
        <w:rFonts w:ascii="Arial" w:hAnsi="Arial" w:hint="default"/>
      </w:rPr>
    </w:lvl>
    <w:lvl w:ilvl="2" w:tplc="2C4CAE04" w:tentative="1">
      <w:start w:val="1"/>
      <w:numFmt w:val="bullet"/>
      <w:lvlText w:val="•"/>
      <w:lvlJc w:val="left"/>
      <w:pPr>
        <w:tabs>
          <w:tab w:val="num" w:pos="2160"/>
        </w:tabs>
        <w:ind w:left="2160" w:hanging="360"/>
      </w:pPr>
      <w:rPr>
        <w:rFonts w:ascii="Arial" w:hAnsi="Arial" w:hint="default"/>
      </w:rPr>
    </w:lvl>
    <w:lvl w:ilvl="3" w:tplc="6CAC665C" w:tentative="1">
      <w:start w:val="1"/>
      <w:numFmt w:val="bullet"/>
      <w:lvlText w:val="•"/>
      <w:lvlJc w:val="left"/>
      <w:pPr>
        <w:tabs>
          <w:tab w:val="num" w:pos="2880"/>
        </w:tabs>
        <w:ind w:left="2880" w:hanging="360"/>
      </w:pPr>
      <w:rPr>
        <w:rFonts w:ascii="Arial" w:hAnsi="Arial" w:hint="default"/>
      </w:rPr>
    </w:lvl>
    <w:lvl w:ilvl="4" w:tplc="675A4CA2" w:tentative="1">
      <w:start w:val="1"/>
      <w:numFmt w:val="bullet"/>
      <w:lvlText w:val="•"/>
      <w:lvlJc w:val="left"/>
      <w:pPr>
        <w:tabs>
          <w:tab w:val="num" w:pos="3600"/>
        </w:tabs>
        <w:ind w:left="3600" w:hanging="360"/>
      </w:pPr>
      <w:rPr>
        <w:rFonts w:ascii="Arial" w:hAnsi="Arial" w:hint="default"/>
      </w:rPr>
    </w:lvl>
    <w:lvl w:ilvl="5" w:tplc="577A7880" w:tentative="1">
      <w:start w:val="1"/>
      <w:numFmt w:val="bullet"/>
      <w:lvlText w:val="•"/>
      <w:lvlJc w:val="left"/>
      <w:pPr>
        <w:tabs>
          <w:tab w:val="num" w:pos="4320"/>
        </w:tabs>
        <w:ind w:left="4320" w:hanging="360"/>
      </w:pPr>
      <w:rPr>
        <w:rFonts w:ascii="Arial" w:hAnsi="Arial" w:hint="default"/>
      </w:rPr>
    </w:lvl>
    <w:lvl w:ilvl="6" w:tplc="3C8AF812" w:tentative="1">
      <w:start w:val="1"/>
      <w:numFmt w:val="bullet"/>
      <w:lvlText w:val="•"/>
      <w:lvlJc w:val="left"/>
      <w:pPr>
        <w:tabs>
          <w:tab w:val="num" w:pos="5040"/>
        </w:tabs>
        <w:ind w:left="5040" w:hanging="360"/>
      </w:pPr>
      <w:rPr>
        <w:rFonts w:ascii="Arial" w:hAnsi="Arial" w:hint="default"/>
      </w:rPr>
    </w:lvl>
    <w:lvl w:ilvl="7" w:tplc="832480D4" w:tentative="1">
      <w:start w:val="1"/>
      <w:numFmt w:val="bullet"/>
      <w:lvlText w:val="•"/>
      <w:lvlJc w:val="left"/>
      <w:pPr>
        <w:tabs>
          <w:tab w:val="num" w:pos="5760"/>
        </w:tabs>
        <w:ind w:left="5760" w:hanging="360"/>
      </w:pPr>
      <w:rPr>
        <w:rFonts w:ascii="Arial" w:hAnsi="Arial" w:hint="default"/>
      </w:rPr>
    </w:lvl>
    <w:lvl w:ilvl="8" w:tplc="B9E051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9A3EFA"/>
    <w:multiLevelType w:val="hybridMultilevel"/>
    <w:tmpl w:val="87289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537D7D"/>
    <w:multiLevelType w:val="hybridMultilevel"/>
    <w:tmpl w:val="3BAA5F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3B6F93"/>
    <w:multiLevelType w:val="hybridMultilevel"/>
    <w:tmpl w:val="44061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55A2A"/>
    <w:multiLevelType w:val="hybridMultilevel"/>
    <w:tmpl w:val="F4DEA8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A6265"/>
    <w:multiLevelType w:val="hybridMultilevel"/>
    <w:tmpl w:val="0712868E"/>
    <w:lvl w:ilvl="0" w:tplc="44FA848A">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AD0A31"/>
    <w:multiLevelType w:val="hybridMultilevel"/>
    <w:tmpl w:val="5A4CB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D7985"/>
    <w:multiLevelType w:val="hybridMultilevel"/>
    <w:tmpl w:val="545EFD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856695"/>
    <w:multiLevelType w:val="hybridMultilevel"/>
    <w:tmpl w:val="CD00F25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041FD7"/>
    <w:multiLevelType w:val="hybridMultilevel"/>
    <w:tmpl w:val="46BCFCB0"/>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ED04B8"/>
    <w:multiLevelType w:val="hybridMultilevel"/>
    <w:tmpl w:val="6090F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415CBC"/>
    <w:multiLevelType w:val="hybridMultilevel"/>
    <w:tmpl w:val="E1B22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22C7C"/>
    <w:multiLevelType w:val="hybridMultilevel"/>
    <w:tmpl w:val="E0C235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6F17787"/>
    <w:multiLevelType w:val="hybridMultilevel"/>
    <w:tmpl w:val="983A7FCA"/>
    <w:lvl w:ilvl="0" w:tplc="0978A294">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79E6C78"/>
    <w:multiLevelType w:val="hybridMultilevel"/>
    <w:tmpl w:val="194E309E"/>
    <w:lvl w:ilvl="0" w:tplc="08090001">
      <w:start w:val="1"/>
      <w:numFmt w:val="bullet"/>
      <w:lvlText w:val=""/>
      <w:lvlJc w:val="left"/>
      <w:pPr>
        <w:ind w:left="360" w:hanging="360"/>
      </w:pPr>
      <w:rPr>
        <w:rFonts w:ascii="Symbol" w:hAnsi="Symbol" w:hint="default"/>
      </w:rPr>
    </w:lvl>
    <w:lvl w:ilvl="1" w:tplc="08090013">
      <w:start w:val="1"/>
      <w:numFmt w:val="upp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81166C"/>
    <w:multiLevelType w:val="hybridMultilevel"/>
    <w:tmpl w:val="CD140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2308BD"/>
    <w:multiLevelType w:val="hybridMultilevel"/>
    <w:tmpl w:val="EE5E18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4539AE"/>
    <w:multiLevelType w:val="hybridMultilevel"/>
    <w:tmpl w:val="C44E723E"/>
    <w:lvl w:ilvl="0" w:tplc="5F7A30DA">
      <w:start w:val="1"/>
      <w:numFmt w:val="decimal"/>
      <w:lvlText w:val="%1"/>
      <w:lvlJc w:val="left"/>
      <w:pPr>
        <w:ind w:left="720" w:hanging="720"/>
      </w:pPr>
      <w:rPr>
        <w:rFonts w:hint="default"/>
        <w:b w:val="0"/>
        <w:i w:val="0"/>
      </w:rPr>
    </w:lvl>
    <w:lvl w:ilvl="1" w:tplc="1F72CED0">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1720129"/>
    <w:multiLevelType w:val="hybridMultilevel"/>
    <w:tmpl w:val="699E53A8"/>
    <w:lvl w:ilvl="0" w:tplc="4B489E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9CD0108"/>
    <w:multiLevelType w:val="hybridMultilevel"/>
    <w:tmpl w:val="83B2D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A1233"/>
    <w:multiLevelType w:val="hybridMultilevel"/>
    <w:tmpl w:val="699E53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7340410">
    <w:abstractNumId w:val="4"/>
  </w:num>
  <w:num w:numId="2" w16cid:durableId="438989528">
    <w:abstractNumId w:val="39"/>
  </w:num>
  <w:num w:numId="3" w16cid:durableId="738792290">
    <w:abstractNumId w:val="30"/>
  </w:num>
  <w:num w:numId="4" w16cid:durableId="1176191309">
    <w:abstractNumId w:val="16"/>
  </w:num>
  <w:num w:numId="5" w16cid:durableId="1704164916">
    <w:abstractNumId w:val="17"/>
  </w:num>
  <w:num w:numId="6" w16cid:durableId="1883327400">
    <w:abstractNumId w:val="8"/>
  </w:num>
  <w:num w:numId="7" w16cid:durableId="1095829628">
    <w:abstractNumId w:val="36"/>
  </w:num>
  <w:num w:numId="8" w16cid:durableId="1015425287">
    <w:abstractNumId w:val="24"/>
  </w:num>
  <w:num w:numId="9" w16cid:durableId="802389266">
    <w:abstractNumId w:val="26"/>
  </w:num>
  <w:num w:numId="10" w16cid:durableId="2000184039">
    <w:abstractNumId w:val="3"/>
  </w:num>
  <w:num w:numId="11" w16cid:durableId="2002080367">
    <w:abstractNumId w:val="38"/>
  </w:num>
  <w:num w:numId="12" w16cid:durableId="905804563">
    <w:abstractNumId w:val="29"/>
  </w:num>
  <w:num w:numId="13" w16cid:durableId="1500922491">
    <w:abstractNumId w:val="20"/>
  </w:num>
  <w:num w:numId="14" w16cid:durableId="528878518">
    <w:abstractNumId w:val="19"/>
  </w:num>
  <w:num w:numId="15" w16cid:durableId="1699158958">
    <w:abstractNumId w:val="7"/>
  </w:num>
  <w:num w:numId="16" w16cid:durableId="702944206">
    <w:abstractNumId w:val="15"/>
  </w:num>
  <w:num w:numId="17" w16cid:durableId="1799641147">
    <w:abstractNumId w:val="12"/>
  </w:num>
  <w:num w:numId="18" w16cid:durableId="425610879">
    <w:abstractNumId w:val="5"/>
  </w:num>
  <w:num w:numId="19" w16cid:durableId="589581725">
    <w:abstractNumId w:val="25"/>
  </w:num>
  <w:num w:numId="20" w16cid:durableId="1362779760">
    <w:abstractNumId w:val="32"/>
  </w:num>
  <w:num w:numId="21" w16cid:durableId="1057126192">
    <w:abstractNumId w:val="11"/>
  </w:num>
  <w:num w:numId="22" w16cid:durableId="1230307528">
    <w:abstractNumId w:val="0"/>
  </w:num>
  <w:num w:numId="23" w16cid:durableId="892498932">
    <w:abstractNumId w:val="37"/>
  </w:num>
  <w:num w:numId="24" w16cid:durableId="981353058">
    <w:abstractNumId w:val="23"/>
  </w:num>
  <w:num w:numId="25" w16cid:durableId="1930969640">
    <w:abstractNumId w:val="33"/>
  </w:num>
  <w:num w:numId="26" w16cid:durableId="1240868785">
    <w:abstractNumId w:val="41"/>
  </w:num>
  <w:num w:numId="27" w16cid:durableId="2008170188">
    <w:abstractNumId w:val="34"/>
  </w:num>
  <w:num w:numId="28" w16cid:durableId="1511876311">
    <w:abstractNumId w:val="35"/>
  </w:num>
  <w:num w:numId="29" w16cid:durableId="481116088">
    <w:abstractNumId w:val="10"/>
  </w:num>
  <w:num w:numId="30" w16cid:durableId="1145975232">
    <w:abstractNumId w:val="9"/>
  </w:num>
  <w:num w:numId="31" w16cid:durableId="1104691170">
    <w:abstractNumId w:val="27"/>
  </w:num>
  <w:num w:numId="32" w16cid:durableId="312299881">
    <w:abstractNumId w:val="1"/>
  </w:num>
  <w:num w:numId="33" w16cid:durableId="30762618">
    <w:abstractNumId w:val="28"/>
  </w:num>
  <w:num w:numId="34" w16cid:durableId="556167830">
    <w:abstractNumId w:val="22"/>
  </w:num>
  <w:num w:numId="35" w16cid:durableId="778375807">
    <w:abstractNumId w:val="18"/>
  </w:num>
  <w:num w:numId="36" w16cid:durableId="1090392108">
    <w:abstractNumId w:val="6"/>
  </w:num>
  <w:num w:numId="37" w16cid:durableId="2303846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1468344">
    <w:abstractNumId w:val="40"/>
  </w:num>
  <w:num w:numId="39" w16cid:durableId="1323898887">
    <w:abstractNumId w:val="42"/>
  </w:num>
  <w:num w:numId="40" w16cid:durableId="1874687482">
    <w:abstractNumId w:val="14"/>
  </w:num>
  <w:num w:numId="41" w16cid:durableId="1476679150">
    <w:abstractNumId w:val="13"/>
  </w:num>
  <w:num w:numId="42" w16cid:durableId="1711949901">
    <w:abstractNumId w:val="31"/>
  </w:num>
  <w:num w:numId="43" w16cid:durableId="2066679843">
    <w:abstractNumId w:val="21"/>
  </w:num>
  <w:num w:numId="44" w16cid:durableId="969751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AD"/>
    <w:rsid w:val="00081D50"/>
    <w:rsid w:val="000F3FC8"/>
    <w:rsid w:val="00127576"/>
    <w:rsid w:val="00141867"/>
    <w:rsid w:val="00145657"/>
    <w:rsid w:val="00152A51"/>
    <w:rsid w:val="00165DBC"/>
    <w:rsid w:val="001A3A2F"/>
    <w:rsid w:val="001C6FB3"/>
    <w:rsid w:val="001F5668"/>
    <w:rsid w:val="001F7401"/>
    <w:rsid w:val="002309F9"/>
    <w:rsid w:val="0028603F"/>
    <w:rsid w:val="002874C0"/>
    <w:rsid w:val="002911C6"/>
    <w:rsid w:val="00351939"/>
    <w:rsid w:val="00355D42"/>
    <w:rsid w:val="003A27C7"/>
    <w:rsid w:val="003E08EB"/>
    <w:rsid w:val="00455DFE"/>
    <w:rsid w:val="00460D62"/>
    <w:rsid w:val="004C2DC5"/>
    <w:rsid w:val="004E7BA3"/>
    <w:rsid w:val="004F0C65"/>
    <w:rsid w:val="005B13BD"/>
    <w:rsid w:val="005B3096"/>
    <w:rsid w:val="006C4DFD"/>
    <w:rsid w:val="006D69D8"/>
    <w:rsid w:val="00702CAC"/>
    <w:rsid w:val="0071303D"/>
    <w:rsid w:val="0071616B"/>
    <w:rsid w:val="00776307"/>
    <w:rsid w:val="007D7AFC"/>
    <w:rsid w:val="007E2BB5"/>
    <w:rsid w:val="00823ECD"/>
    <w:rsid w:val="00836B95"/>
    <w:rsid w:val="008435BD"/>
    <w:rsid w:val="00913186"/>
    <w:rsid w:val="009562CF"/>
    <w:rsid w:val="0096603A"/>
    <w:rsid w:val="0098061A"/>
    <w:rsid w:val="00994A2B"/>
    <w:rsid w:val="009A2AE1"/>
    <w:rsid w:val="009D1DDE"/>
    <w:rsid w:val="00A227FB"/>
    <w:rsid w:val="00AF5AF4"/>
    <w:rsid w:val="00B376FA"/>
    <w:rsid w:val="00B7612D"/>
    <w:rsid w:val="00BC7301"/>
    <w:rsid w:val="00C2665B"/>
    <w:rsid w:val="00C468AD"/>
    <w:rsid w:val="00C61777"/>
    <w:rsid w:val="00CA367F"/>
    <w:rsid w:val="00D47B27"/>
    <w:rsid w:val="00D81601"/>
    <w:rsid w:val="00D82535"/>
    <w:rsid w:val="00D84F94"/>
    <w:rsid w:val="00D91B14"/>
    <w:rsid w:val="00DF6828"/>
    <w:rsid w:val="00E0630D"/>
    <w:rsid w:val="00E100E6"/>
    <w:rsid w:val="00EA1364"/>
    <w:rsid w:val="00F90C4E"/>
    <w:rsid w:val="00FA11A0"/>
    <w:rsid w:val="00FA47B9"/>
    <w:rsid w:val="00FF1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7D1A"/>
  <w15:chartTrackingRefBased/>
  <w15:docId w15:val="{F38B9C96-174E-4392-BC22-B7A23D52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AD"/>
    <w:rPr>
      <w:kern w:val="0"/>
      <w14:ligatures w14:val="none"/>
    </w:rPr>
  </w:style>
  <w:style w:type="paragraph" w:styleId="Heading1">
    <w:name w:val="heading 1"/>
    <w:basedOn w:val="Normal"/>
    <w:next w:val="Normal"/>
    <w:link w:val="Heading1Char"/>
    <w:uiPriority w:val="9"/>
    <w:qFormat/>
    <w:rsid w:val="00C468AD"/>
    <w:pPr>
      <w:keepNext/>
      <w:keepLines/>
      <w:spacing w:before="60" w:after="60"/>
      <w:outlineLvl w:val="0"/>
    </w:pPr>
    <w:rPr>
      <w:rFonts w:ascii="Calibri" w:eastAsiaTheme="majorEastAsia" w:hAnsi="Calibri" w:cstheme="majorBidi"/>
      <w:b/>
      <w:color w:val="000000" w:themeColor="text1"/>
      <w:sz w:val="24"/>
      <w:szCs w:val="32"/>
    </w:rPr>
  </w:style>
  <w:style w:type="paragraph" w:styleId="Heading2">
    <w:name w:val="heading 2"/>
    <w:basedOn w:val="Normal"/>
    <w:next w:val="Normal"/>
    <w:link w:val="Heading2Char"/>
    <w:uiPriority w:val="9"/>
    <w:unhideWhenUsed/>
    <w:qFormat/>
    <w:rsid w:val="00C468AD"/>
    <w:pPr>
      <w:keepNext/>
      <w:keepLines/>
      <w:spacing w:before="60" w:after="60"/>
      <w:outlineLvl w:val="1"/>
    </w:pPr>
    <w:rPr>
      <w:rFonts w:ascii="Calibri" w:eastAsiaTheme="majorEastAsia" w:hAnsi="Calibri" w:cstheme="majorBidi"/>
      <w:b/>
      <w:color w:val="000000" w:themeColor="text1"/>
      <w:sz w:val="24"/>
      <w:szCs w:val="26"/>
    </w:rPr>
  </w:style>
  <w:style w:type="paragraph" w:styleId="Heading3">
    <w:name w:val="heading 3"/>
    <w:basedOn w:val="Normal"/>
    <w:next w:val="Normal"/>
    <w:link w:val="Heading3Char"/>
    <w:uiPriority w:val="9"/>
    <w:unhideWhenUsed/>
    <w:qFormat/>
    <w:rsid w:val="00C468AD"/>
    <w:pPr>
      <w:keepNext/>
      <w:keepLines/>
      <w:spacing w:after="0"/>
      <w:outlineLvl w:val="2"/>
    </w:pPr>
    <w:rPr>
      <w:rFonts w:ascii="Calibri" w:eastAsiaTheme="majorEastAsia" w:hAnsi="Calibri"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AD"/>
    <w:rPr>
      <w:rFonts w:ascii="Calibri" w:eastAsiaTheme="majorEastAsia" w:hAnsi="Calibri" w:cstheme="majorBidi"/>
      <w:b/>
      <w:color w:val="000000" w:themeColor="text1"/>
      <w:kern w:val="0"/>
      <w:sz w:val="24"/>
      <w:szCs w:val="32"/>
      <w14:ligatures w14:val="none"/>
    </w:rPr>
  </w:style>
  <w:style w:type="character" w:customStyle="1" w:styleId="Heading2Char">
    <w:name w:val="Heading 2 Char"/>
    <w:basedOn w:val="DefaultParagraphFont"/>
    <w:link w:val="Heading2"/>
    <w:uiPriority w:val="9"/>
    <w:rsid w:val="00C468AD"/>
    <w:rPr>
      <w:rFonts w:ascii="Calibri" w:eastAsiaTheme="majorEastAsia" w:hAnsi="Calibri" w:cstheme="majorBidi"/>
      <w:b/>
      <w:color w:val="000000" w:themeColor="text1"/>
      <w:kern w:val="0"/>
      <w:sz w:val="24"/>
      <w:szCs w:val="26"/>
      <w14:ligatures w14:val="none"/>
    </w:rPr>
  </w:style>
  <w:style w:type="character" w:customStyle="1" w:styleId="Heading3Char">
    <w:name w:val="Heading 3 Char"/>
    <w:basedOn w:val="DefaultParagraphFont"/>
    <w:link w:val="Heading3"/>
    <w:uiPriority w:val="9"/>
    <w:rsid w:val="00C468AD"/>
    <w:rPr>
      <w:rFonts w:ascii="Calibri" w:eastAsiaTheme="majorEastAsia" w:hAnsi="Calibri" w:cstheme="majorBidi"/>
      <w:b/>
      <w:color w:val="000000" w:themeColor="text1"/>
      <w:kern w:val="0"/>
      <w:sz w:val="24"/>
      <w:szCs w:val="24"/>
      <w14:ligatures w14:val="none"/>
    </w:rPr>
  </w:style>
  <w:style w:type="table" w:styleId="TableGrid">
    <w:name w:val="Table Grid"/>
    <w:aliases w:val="C21 table"/>
    <w:basedOn w:val="TableNormal"/>
    <w:uiPriority w:val="59"/>
    <w:rsid w:val="00C468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8AD"/>
    <w:rPr>
      <w:kern w:val="0"/>
      <w14:ligatures w14:val="none"/>
    </w:rPr>
  </w:style>
  <w:style w:type="paragraph" w:styleId="Footer">
    <w:name w:val="footer"/>
    <w:basedOn w:val="Normal"/>
    <w:link w:val="FooterChar"/>
    <w:uiPriority w:val="99"/>
    <w:unhideWhenUsed/>
    <w:rsid w:val="00C4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8AD"/>
    <w:rPr>
      <w:kern w:val="0"/>
      <w14:ligatures w14:val="none"/>
    </w:rPr>
  </w:style>
  <w:style w:type="paragraph" w:styleId="ListParagraph">
    <w:name w:val="List Paragraph"/>
    <w:basedOn w:val="Normal"/>
    <w:uiPriority w:val="34"/>
    <w:qFormat/>
    <w:rsid w:val="00C468AD"/>
    <w:pPr>
      <w:ind w:left="720"/>
      <w:contextualSpacing/>
    </w:pPr>
  </w:style>
  <w:style w:type="character" w:styleId="CommentReference">
    <w:name w:val="annotation reference"/>
    <w:basedOn w:val="DefaultParagraphFont"/>
    <w:uiPriority w:val="99"/>
    <w:semiHidden/>
    <w:unhideWhenUsed/>
    <w:rsid w:val="00C468AD"/>
    <w:rPr>
      <w:sz w:val="16"/>
      <w:szCs w:val="16"/>
    </w:rPr>
  </w:style>
  <w:style w:type="paragraph" w:styleId="CommentText">
    <w:name w:val="annotation text"/>
    <w:basedOn w:val="Normal"/>
    <w:link w:val="CommentTextChar"/>
    <w:uiPriority w:val="99"/>
    <w:unhideWhenUsed/>
    <w:rsid w:val="00C468AD"/>
    <w:pPr>
      <w:spacing w:line="240" w:lineRule="auto"/>
    </w:pPr>
    <w:rPr>
      <w:sz w:val="20"/>
      <w:szCs w:val="20"/>
    </w:rPr>
  </w:style>
  <w:style w:type="character" w:customStyle="1" w:styleId="CommentTextChar">
    <w:name w:val="Comment Text Char"/>
    <w:basedOn w:val="DefaultParagraphFont"/>
    <w:link w:val="CommentText"/>
    <w:uiPriority w:val="99"/>
    <w:rsid w:val="00C468A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68AD"/>
    <w:rPr>
      <w:b/>
      <w:bCs/>
    </w:rPr>
  </w:style>
  <w:style w:type="character" w:customStyle="1" w:styleId="CommentSubjectChar">
    <w:name w:val="Comment Subject Char"/>
    <w:basedOn w:val="CommentTextChar"/>
    <w:link w:val="CommentSubject"/>
    <w:uiPriority w:val="99"/>
    <w:semiHidden/>
    <w:rsid w:val="00C468AD"/>
    <w:rPr>
      <w:b/>
      <w:bCs/>
      <w:kern w:val="0"/>
      <w:sz w:val="20"/>
      <w:szCs w:val="20"/>
      <w14:ligatures w14:val="none"/>
    </w:rPr>
  </w:style>
  <w:style w:type="paragraph" w:styleId="BalloonText">
    <w:name w:val="Balloon Text"/>
    <w:basedOn w:val="Normal"/>
    <w:link w:val="BalloonTextChar"/>
    <w:uiPriority w:val="99"/>
    <w:semiHidden/>
    <w:unhideWhenUsed/>
    <w:rsid w:val="00C4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8AD"/>
    <w:rPr>
      <w:rFonts w:ascii="Segoe UI" w:hAnsi="Segoe UI" w:cs="Segoe UI"/>
      <w:kern w:val="0"/>
      <w:sz w:val="18"/>
      <w:szCs w:val="18"/>
      <w14:ligatures w14:val="none"/>
    </w:rPr>
  </w:style>
  <w:style w:type="character" w:styleId="Hyperlink">
    <w:name w:val="Hyperlink"/>
    <w:basedOn w:val="DefaultParagraphFont"/>
    <w:uiPriority w:val="99"/>
    <w:unhideWhenUsed/>
    <w:rsid w:val="00C468AD"/>
    <w:rPr>
      <w:color w:val="0563C1" w:themeColor="hyperlink"/>
      <w:u w:val="single"/>
    </w:rPr>
  </w:style>
  <w:style w:type="paragraph" w:customStyle="1" w:styleId="TableParagraph">
    <w:name w:val="Table Paragraph"/>
    <w:basedOn w:val="Normal"/>
    <w:uiPriority w:val="1"/>
    <w:qFormat/>
    <w:rsid w:val="00C468AD"/>
    <w:pPr>
      <w:widowControl w:val="0"/>
      <w:autoSpaceDE w:val="0"/>
      <w:autoSpaceDN w:val="0"/>
      <w:spacing w:after="0" w:line="240" w:lineRule="auto"/>
    </w:pPr>
    <w:rPr>
      <w:rFonts w:ascii="Calibri" w:eastAsia="Calibri" w:hAnsi="Calibri" w:cs="Calibri"/>
      <w:lang w:val="en-US"/>
    </w:rPr>
  </w:style>
  <w:style w:type="character" w:styleId="UnresolvedMention">
    <w:name w:val="Unresolved Mention"/>
    <w:basedOn w:val="DefaultParagraphFont"/>
    <w:uiPriority w:val="99"/>
    <w:semiHidden/>
    <w:unhideWhenUsed/>
    <w:rsid w:val="00C468AD"/>
    <w:rPr>
      <w:color w:val="605E5C"/>
      <w:shd w:val="clear" w:color="auto" w:fill="E1DFDD"/>
    </w:rPr>
  </w:style>
  <w:style w:type="paragraph" w:styleId="Revision">
    <w:name w:val="Revision"/>
    <w:hidden/>
    <w:uiPriority w:val="99"/>
    <w:semiHidden/>
    <w:rsid w:val="00C468AD"/>
    <w:pPr>
      <w:spacing w:after="0" w:line="240" w:lineRule="auto"/>
    </w:pPr>
    <w:rPr>
      <w:kern w:val="0"/>
      <w14:ligatures w14:val="none"/>
    </w:rPr>
  </w:style>
  <w:style w:type="character" w:styleId="FollowedHyperlink">
    <w:name w:val="FollowedHyperlink"/>
    <w:basedOn w:val="DefaultParagraphFont"/>
    <w:uiPriority w:val="99"/>
    <w:semiHidden/>
    <w:unhideWhenUsed/>
    <w:rsid w:val="00C468AD"/>
    <w:rPr>
      <w:color w:val="954F72" w:themeColor="followedHyperlink"/>
      <w:u w:val="single"/>
    </w:rPr>
  </w:style>
  <w:style w:type="paragraph" w:customStyle="1" w:styleId="paragraph">
    <w:name w:val="paragraph"/>
    <w:basedOn w:val="Normal"/>
    <w:rsid w:val="00C468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68AD"/>
  </w:style>
  <w:style w:type="character" w:customStyle="1" w:styleId="eop">
    <w:name w:val="eop"/>
    <w:basedOn w:val="DefaultParagraphFont"/>
    <w:rsid w:val="00C468AD"/>
  </w:style>
  <w:style w:type="character" w:customStyle="1" w:styleId="bcx0">
    <w:name w:val="bcx0"/>
    <w:basedOn w:val="DefaultParagraphFont"/>
    <w:rsid w:val="00C468AD"/>
  </w:style>
  <w:style w:type="paragraph" w:styleId="BodyText">
    <w:name w:val="Body Text"/>
    <w:basedOn w:val="Normal"/>
    <w:link w:val="BodyTextChar"/>
    <w:uiPriority w:val="99"/>
    <w:unhideWhenUsed/>
    <w:rsid w:val="00C468AD"/>
    <w:pPr>
      <w:spacing w:after="120" w:line="240" w:lineRule="auto"/>
    </w:pPr>
    <w:rPr>
      <w:rFonts w:eastAsiaTheme="minorEastAsia"/>
      <w:sz w:val="24"/>
      <w:szCs w:val="24"/>
      <w:lang w:eastAsia="ja-JP"/>
    </w:rPr>
  </w:style>
  <w:style w:type="character" w:customStyle="1" w:styleId="BodyTextChar">
    <w:name w:val="Body Text Char"/>
    <w:basedOn w:val="DefaultParagraphFont"/>
    <w:link w:val="BodyText"/>
    <w:uiPriority w:val="99"/>
    <w:rsid w:val="00C468AD"/>
    <w:rPr>
      <w:rFonts w:eastAsiaTheme="minorEastAsia"/>
      <w:kern w:val="0"/>
      <w:sz w:val="24"/>
      <w:szCs w:val="24"/>
      <w:lang w:eastAsia="ja-JP"/>
      <w14:ligatures w14:val="none"/>
    </w:rPr>
  </w:style>
  <w:style w:type="paragraph" w:styleId="NoSpacing">
    <w:name w:val="No Spacing"/>
    <w:uiPriority w:val="1"/>
    <w:qFormat/>
    <w:rsid w:val="00C468AD"/>
    <w:pPr>
      <w:spacing w:after="0" w:line="240" w:lineRule="auto"/>
    </w:pPr>
    <w:rPr>
      <w:rFonts w:eastAsiaTheme="minorEastAsia"/>
      <w:kern w:val="0"/>
      <w:sz w:val="24"/>
      <w:szCs w:val="24"/>
      <w:lang w:eastAsia="ja-JP"/>
      <w14:ligatures w14:val="none"/>
    </w:rPr>
  </w:style>
  <w:style w:type="paragraph" w:customStyle="1" w:styleId="Default">
    <w:name w:val="Default"/>
    <w:rsid w:val="00C468A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xxmsonormal">
    <w:name w:val="x_xmsonormal"/>
    <w:basedOn w:val="Normal"/>
    <w:rsid w:val="00C468AD"/>
    <w:pPr>
      <w:spacing w:after="0" w:line="240" w:lineRule="auto"/>
    </w:pPr>
    <w:rPr>
      <w:rFonts w:ascii="Calibri" w:hAnsi="Calibri" w:cs="Calibri"/>
      <w:lang w:eastAsia="en-GB"/>
    </w:rPr>
  </w:style>
  <w:style w:type="paragraph" w:styleId="TOCHeading">
    <w:name w:val="TOC Heading"/>
    <w:basedOn w:val="Heading1"/>
    <w:next w:val="Normal"/>
    <w:uiPriority w:val="39"/>
    <w:unhideWhenUsed/>
    <w:qFormat/>
    <w:rsid w:val="00C468AD"/>
    <w:pPr>
      <w:spacing w:before="240" w:after="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468AD"/>
    <w:pPr>
      <w:spacing w:after="100" w:line="276" w:lineRule="auto"/>
    </w:pPr>
  </w:style>
  <w:style w:type="paragraph" w:styleId="TOC2">
    <w:name w:val="toc 2"/>
    <w:basedOn w:val="Normal"/>
    <w:next w:val="Normal"/>
    <w:autoRedefine/>
    <w:uiPriority w:val="39"/>
    <w:unhideWhenUsed/>
    <w:rsid w:val="00C468AD"/>
    <w:pPr>
      <w:spacing w:after="100" w:line="276"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quality-code" TargetMode="External"/><Relationship Id="rId18" Type="http://schemas.openxmlformats.org/officeDocument/2006/relationships/hyperlink" Target="https://www.shu.ac.uk/myhallam/university-life/university-rules-and-regulations/marking-and-grades/university-grade-descriptors/level-4---foundation-degre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hu.ac.uk/myhallam/university-life/university-rules-and-regulations/marking-and-grades/university-grade-descriptors/level-6---generic-grade-descriptors" TargetMode="External"/><Relationship Id="rId7" Type="http://schemas.openxmlformats.org/officeDocument/2006/relationships/settings" Target="settings.xml"/><Relationship Id="rId12" Type="http://schemas.openxmlformats.org/officeDocument/2006/relationships/hyperlink" Target="https://www.johnbiggs.com.au/academic/solo-taxonomy/" TargetMode="External"/><Relationship Id="rId17" Type="http://schemas.openxmlformats.org/officeDocument/2006/relationships/hyperlink" Target="https://www.shu.ac.uk/myhallam/university-life/university-rules-and-regulations/marking-and-grades/university-grade-descriptors/level-4---generic-grade-descripto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hu.ac.uk/myhallam/university-life/university-rules-and-regulations/marking-and-grades/university-grade-descriptors/foundations-years" TargetMode="External"/><Relationship Id="rId20" Type="http://schemas.openxmlformats.org/officeDocument/2006/relationships/hyperlink" Target="https://www.shu.ac.uk/myhallam/university-life/university-rules-and-regulations/marking-and-grades/university-grade-descriptors/level-5---foundation-degr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hu.ac.uk/myhallam/university-life/university-rules-and-regulations/marking-and-grades/university-grade-descriptors/learning-outcomes" TargetMode="External"/><Relationship Id="rId23" Type="http://schemas.openxmlformats.org/officeDocument/2006/relationships/hyperlink" Target="https://arrow.tudublin.ie/cgi/viewcontent.cgi?article=1000&amp;context=ltcpgdprp" TargetMode="External"/><Relationship Id="rId10" Type="http://schemas.openxmlformats.org/officeDocument/2006/relationships/endnotes" Target="endnotes.xml"/><Relationship Id="rId19" Type="http://schemas.openxmlformats.org/officeDocument/2006/relationships/hyperlink" Target="https://www.shu.ac.uk/myhallam/university-life/university-rules-and-regulations/marking-and-grades/university-grade-descriptors/level-5---generic-grade-descrip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u.ac.uk/myhallam/university-life/university-rules-and-regulations/marking-and-grades/university-grade-descriptors" TargetMode="External"/><Relationship Id="rId22" Type="http://schemas.openxmlformats.org/officeDocument/2006/relationships/hyperlink" Target="https://www.shu.ac.uk/myhallam/university-life/university-rules-and-regulations/marking-and-grades/university-grade-descriptors/level-7---generic-grade-descripto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db5e0e-fde9-4fc7-8d36-9e54692e2c2c">
      <Terms xmlns="http://schemas.microsoft.com/office/infopath/2007/PartnerControls"/>
    </lcf76f155ced4ddcb4097134ff3c332f>
    <TaxCatchAll xmlns="7ff68fd3-1c6b-4a16-b61a-a2e792be24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4368ED3A793B429385D75A1BDC0356" ma:contentTypeVersion="16" ma:contentTypeDescription="Create a new document." ma:contentTypeScope="" ma:versionID="aa9956da393b268848a1a8d92c9afddb">
  <xsd:schema xmlns:xsd="http://www.w3.org/2001/XMLSchema" xmlns:xs="http://www.w3.org/2001/XMLSchema" xmlns:p="http://schemas.microsoft.com/office/2006/metadata/properties" xmlns:ns2="22db5e0e-fde9-4fc7-8d36-9e54692e2c2c" xmlns:ns3="7ff68fd3-1c6b-4a16-b61a-a2e792be24ef" targetNamespace="http://schemas.microsoft.com/office/2006/metadata/properties" ma:root="true" ma:fieldsID="82fd8b4bd32d0a10dd21705db4927627" ns2:_="" ns3:_="">
    <xsd:import namespace="22db5e0e-fde9-4fc7-8d36-9e54692e2c2c"/>
    <xsd:import namespace="7ff68fd3-1c6b-4a16-b61a-a2e792be2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5e0e-fde9-4fc7-8d36-9e54692e2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68fd3-1c6b-4a16-b61a-a2e792be24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21f86a-a9b9-443e-b580-b9baf0379978}" ma:internalName="TaxCatchAll" ma:showField="CatchAllData" ma:web="7ff68fd3-1c6b-4a16-b61a-a2e792be2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E6D82-ACFA-4F35-B019-5E80ED921307}">
  <ds:schemaRefs>
    <ds:schemaRef ds:uri="http://schemas.openxmlformats.org/officeDocument/2006/bibliography"/>
  </ds:schemaRefs>
</ds:datastoreItem>
</file>

<file path=customXml/itemProps2.xml><?xml version="1.0" encoding="utf-8"?>
<ds:datastoreItem xmlns:ds="http://schemas.openxmlformats.org/officeDocument/2006/customXml" ds:itemID="{6BBD2924-F50D-449D-9277-ECBD38E38D63}">
  <ds:schemaRefs>
    <ds:schemaRef ds:uri="22db5e0e-fde9-4fc7-8d36-9e54692e2c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f68fd3-1c6b-4a16-b61a-a2e792be24ef"/>
    <ds:schemaRef ds:uri="http://www.w3.org/XML/1998/namespace"/>
    <ds:schemaRef ds:uri="http://purl.org/dc/dcmitype/"/>
  </ds:schemaRefs>
</ds:datastoreItem>
</file>

<file path=customXml/itemProps3.xml><?xml version="1.0" encoding="utf-8"?>
<ds:datastoreItem xmlns:ds="http://schemas.openxmlformats.org/officeDocument/2006/customXml" ds:itemID="{5AEF6CD0-14D3-4CE5-ACC8-262F41016D13}">
  <ds:schemaRefs>
    <ds:schemaRef ds:uri="http://schemas.microsoft.com/sharepoint/v3/contenttype/forms"/>
  </ds:schemaRefs>
</ds:datastoreItem>
</file>

<file path=customXml/itemProps4.xml><?xml version="1.0" encoding="utf-8"?>
<ds:datastoreItem xmlns:ds="http://schemas.openxmlformats.org/officeDocument/2006/customXml" ds:itemID="{D769BD98-0CEE-45C0-A450-C695B0E2A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5e0e-fde9-4fc7-8d36-9e54692e2c2c"/>
    <ds:schemaRef ds:uri="7ff68fd3-1c6b-4a16-b61a-a2e792be2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Joel</dc:creator>
  <cp:keywords/>
  <dc:description/>
  <cp:lastModifiedBy>Irwin, Brian</cp:lastModifiedBy>
  <cp:revision>16</cp:revision>
  <dcterms:created xsi:type="dcterms:W3CDTF">2025-01-08T12:02:00Z</dcterms:created>
  <dcterms:modified xsi:type="dcterms:W3CDTF">2025-01-08T12:17:00Z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0x010100F14368ED3A793B429385D75A1BDC0356</vt:lpwstr>
  </property>
  <property fmtid="{D5CDD505-2E9C-101B-9397-08002B2CF9AE}" pid="3" name="MediaServiceImageTags">
    <vt:lpwstr/>
  </property>
</Properties>
</file>